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8095D" w14:textId="77777777" w:rsidR="00063C02" w:rsidRDefault="00063C02" w:rsidP="00120EAE">
      <w:pPr>
        <w:jc w:val="center"/>
        <w:rPr>
          <w:rFonts w:cs="Times New Roman"/>
          <w:b/>
        </w:rPr>
      </w:pPr>
      <w:bookmarkStart w:id="0" w:name="_GoBack"/>
      <w:bookmarkEnd w:id="0"/>
      <w:r>
        <w:rPr>
          <w:rFonts w:cs="Times New Roman"/>
          <w:b/>
        </w:rPr>
        <w:t xml:space="preserve"> </w:t>
      </w:r>
      <w:r w:rsidR="00120EAE" w:rsidRPr="00190AE2">
        <w:rPr>
          <w:rFonts w:cs="Times New Roman"/>
          <w:b/>
        </w:rPr>
        <w:t>Recommendations</w:t>
      </w:r>
      <w:r>
        <w:rPr>
          <w:rFonts w:cs="Times New Roman"/>
          <w:b/>
        </w:rPr>
        <w:t xml:space="preserve"> from the NAWL consultation on VAW law reform in Canada </w:t>
      </w:r>
    </w:p>
    <w:p w14:paraId="193BF779" w14:textId="77777777" w:rsidR="001B434B" w:rsidRPr="00190AE2" w:rsidRDefault="00063C02" w:rsidP="00120EAE">
      <w:pPr>
        <w:jc w:val="center"/>
        <w:rPr>
          <w:rFonts w:cs="Times New Roman"/>
          <w:b/>
        </w:rPr>
      </w:pPr>
      <w:r>
        <w:rPr>
          <w:rFonts w:cs="Times New Roman"/>
          <w:b/>
        </w:rPr>
        <w:t>to the UN SR VAW</w:t>
      </w:r>
      <w:r w:rsidR="00120EAE" w:rsidRPr="00190AE2">
        <w:rPr>
          <w:rFonts w:cs="Times New Roman"/>
          <w:b/>
        </w:rPr>
        <w:t xml:space="preserve"> </w:t>
      </w:r>
    </w:p>
    <w:p w14:paraId="2C91A9C3" w14:textId="77777777" w:rsidR="00120EAE" w:rsidRPr="00190AE2" w:rsidRDefault="00120EAE">
      <w:pPr>
        <w:rPr>
          <w:rFonts w:cs="Times New Roman"/>
        </w:rPr>
      </w:pPr>
    </w:p>
    <w:p w14:paraId="6B2A5848" w14:textId="77777777" w:rsidR="005C07CB" w:rsidRPr="00190AE2" w:rsidRDefault="005C07CB">
      <w:pPr>
        <w:rPr>
          <w:rFonts w:cs="Times New Roman"/>
        </w:rPr>
      </w:pPr>
    </w:p>
    <w:p w14:paraId="5289B612" w14:textId="77777777" w:rsidR="00F550E1" w:rsidRPr="00190AE2" w:rsidRDefault="00254302" w:rsidP="00254302">
      <w:pPr>
        <w:jc w:val="center"/>
        <w:rPr>
          <w:b/>
        </w:rPr>
      </w:pPr>
      <w:r>
        <w:rPr>
          <w:b/>
        </w:rPr>
        <w:t>Considerations and context relevant to f</w:t>
      </w:r>
      <w:r w:rsidR="00F550E1" w:rsidRPr="00190AE2">
        <w:rPr>
          <w:b/>
        </w:rPr>
        <w:t>raming feminist engagement in VAW law reform in Canada</w:t>
      </w:r>
    </w:p>
    <w:p w14:paraId="081AAA62" w14:textId="77777777" w:rsidR="00F550E1" w:rsidRPr="00190AE2" w:rsidRDefault="00F550E1" w:rsidP="00F550E1">
      <w:pPr>
        <w:jc w:val="center"/>
        <w:rPr>
          <w:b/>
        </w:rPr>
      </w:pPr>
    </w:p>
    <w:p w14:paraId="02071CEA" w14:textId="77777777" w:rsidR="00F550E1" w:rsidRPr="00190AE2" w:rsidRDefault="00F550E1" w:rsidP="00F550E1">
      <w:pPr>
        <w:pStyle w:val="ListParagraph"/>
      </w:pPr>
    </w:p>
    <w:p w14:paraId="65ECF008" w14:textId="1934F838" w:rsidR="00F550E1" w:rsidRPr="00190AE2" w:rsidRDefault="00F550E1" w:rsidP="00F550E1">
      <w:pPr>
        <w:rPr>
          <w:b/>
        </w:rPr>
      </w:pPr>
      <w:r w:rsidRPr="00190AE2">
        <w:t xml:space="preserve">The visit of the </w:t>
      </w:r>
      <w:r w:rsidRPr="00063C02">
        <w:t>U</w:t>
      </w:r>
      <w:r w:rsidR="004B2BDA" w:rsidRPr="00063C02">
        <w:t xml:space="preserve">nited </w:t>
      </w:r>
      <w:r w:rsidRPr="00063C02">
        <w:t>N</w:t>
      </w:r>
      <w:r w:rsidR="004B2BDA" w:rsidRPr="00063C02">
        <w:t xml:space="preserve">ations </w:t>
      </w:r>
      <w:r w:rsidR="00063C02" w:rsidRPr="00063C02">
        <w:t>Special</w:t>
      </w:r>
      <w:r w:rsidR="004B2BDA" w:rsidRPr="00063C02">
        <w:t xml:space="preserve"> Rapporteur on violence against women, its causes and </w:t>
      </w:r>
      <w:r w:rsidR="00063C02" w:rsidRPr="00063C02">
        <w:t>consequences</w:t>
      </w:r>
      <w:r w:rsidR="004B2BDA" w:rsidRPr="00063C02">
        <w:t xml:space="preserve"> (SR </w:t>
      </w:r>
      <w:r w:rsidR="00063C02" w:rsidRPr="00063C02">
        <w:t>V</w:t>
      </w:r>
      <w:r w:rsidR="004B2BDA" w:rsidRPr="00063C02">
        <w:t>AW)</w:t>
      </w:r>
      <w:r w:rsidR="004B2BDA">
        <w:rPr>
          <w:b/>
        </w:rPr>
        <w:t xml:space="preserve"> </w:t>
      </w:r>
      <w:r w:rsidRPr="00190AE2">
        <w:t xml:space="preserve">presented an important opportunity for </w:t>
      </w:r>
      <w:r w:rsidR="003578A7">
        <w:t>the National Association of Women and the Law (</w:t>
      </w:r>
      <w:r w:rsidRPr="00190AE2">
        <w:t>NAWL</w:t>
      </w:r>
      <w:r w:rsidR="003578A7">
        <w:t>)</w:t>
      </w:r>
      <w:r w:rsidRPr="00190AE2">
        <w:t xml:space="preserve"> to convene consultations with other national feminist and equality seeking groups to focus on the potential for feminist engagement in VAW law reform in Canada.</w:t>
      </w:r>
      <w:r w:rsidR="00063C02">
        <w:rPr>
          <w:rStyle w:val="FootnoteReference"/>
        </w:rPr>
        <w:footnoteReference w:id="1"/>
      </w:r>
      <w:r w:rsidRPr="00190AE2">
        <w:rPr>
          <w:b/>
        </w:rPr>
        <w:t xml:space="preserve">  </w:t>
      </w:r>
      <w:r w:rsidRPr="00190AE2">
        <w:t>It has been a very long time since feminist groups were able to come together to discuss and develop strategies to respond to and drive change in relation to the many ways in which the law is implicated in state responses to VAW.  Law reform is a one cornerstone of a comprehensive NAP VAW and must be a cornerstone</w:t>
      </w:r>
      <w:r w:rsidR="00980277">
        <w:t xml:space="preserve"> of</w:t>
      </w:r>
      <w:r w:rsidRPr="00190AE2">
        <w:rPr>
          <w:b/>
        </w:rPr>
        <w:t xml:space="preserve"> </w:t>
      </w:r>
      <w:r w:rsidRPr="00190AE2">
        <w:t xml:space="preserve">the government’s actions to meet their obligations to prevent and respond to VAW in Canada.  </w:t>
      </w:r>
    </w:p>
    <w:p w14:paraId="4DC1577F" w14:textId="77777777" w:rsidR="00F550E1" w:rsidRPr="00190AE2" w:rsidRDefault="00F550E1" w:rsidP="00F550E1">
      <w:pPr>
        <w:pStyle w:val="ListParagraph"/>
      </w:pPr>
    </w:p>
    <w:p w14:paraId="0D4685E5" w14:textId="5C4710C3" w:rsidR="00F550E1" w:rsidRPr="00190AE2" w:rsidRDefault="00F550E1" w:rsidP="00F550E1">
      <w:r w:rsidRPr="00190AE2">
        <w:t xml:space="preserve">The consultation with the </w:t>
      </w:r>
      <w:r w:rsidR="00063C02">
        <w:t xml:space="preserve">SR VAW </w:t>
      </w:r>
      <w:r w:rsidRPr="00190AE2">
        <w:t xml:space="preserve">was convened as part of NAWL’s project “Rebuilding law reform capacities: substantive equality in the </w:t>
      </w:r>
      <w:proofErr w:type="gramStart"/>
      <w:r w:rsidRPr="00190AE2">
        <w:t>law making</w:t>
      </w:r>
      <w:proofErr w:type="gramEnd"/>
      <w:r w:rsidRPr="00190AE2">
        <w:t xml:space="preserve"> process</w:t>
      </w:r>
      <w:r w:rsidR="00063C02">
        <w:t>”.</w:t>
      </w:r>
      <w:r w:rsidR="00063C02">
        <w:rPr>
          <w:rStyle w:val="FootnoteReference"/>
        </w:rPr>
        <w:footnoteReference w:id="2"/>
      </w:r>
      <w:r w:rsidRPr="00190AE2">
        <w:t xml:space="preserve">   The impacts of the previous defunding of feminist </w:t>
      </w:r>
      <w:r w:rsidR="00063C02">
        <w:t>and equality seeking groups</w:t>
      </w:r>
      <w:r w:rsidRPr="00190AE2">
        <w:t xml:space="preserve">, particularly in relation to advocacy, and the deskilling that accompanied it, </w:t>
      </w:r>
      <w:r w:rsidR="00063C02">
        <w:t xml:space="preserve">including </w:t>
      </w:r>
      <w:r w:rsidRPr="00190AE2">
        <w:t>the capacity gaps related to feminist engagement in law reform</w:t>
      </w:r>
      <w:r w:rsidR="00063C02">
        <w:t>,</w:t>
      </w:r>
      <w:r w:rsidRPr="00190AE2">
        <w:t xml:space="preserve"> are deep and ongoing.  However, despite these constraints, on Friday </w:t>
      </w:r>
      <w:r w:rsidR="00A45691">
        <w:t xml:space="preserve">April 13, 2018, </w:t>
      </w:r>
      <w:r w:rsidRPr="00190AE2">
        <w:t>NAWL convened a preparatory meeting of</w:t>
      </w:r>
      <w:r w:rsidRPr="00190AE2">
        <w:rPr>
          <w:b/>
        </w:rPr>
        <w:t xml:space="preserve"> </w:t>
      </w:r>
      <w:r w:rsidRPr="00063C02">
        <w:t xml:space="preserve">16 </w:t>
      </w:r>
      <w:r w:rsidRPr="00190AE2">
        <w:t xml:space="preserve">national feminist and equality seeking groups to come together to and discuss VAW law reform priorities, the law reform expertise that currently exists within various organizations, as well as the capacity gaps in law reform expertise that need to be filled for there to be feminist law reform leadership across the range of areas where VAW law reform is required.  There were </w:t>
      </w:r>
      <w:r w:rsidR="00063C02">
        <w:t xml:space="preserve">other national groups </w:t>
      </w:r>
      <w:r w:rsidRPr="00190AE2">
        <w:t>that could not participate, often because organizational capacities are so stretched, including in relation to law reform</w:t>
      </w:r>
      <w:r w:rsidR="00063C02">
        <w:t>.  S</w:t>
      </w:r>
      <w:r w:rsidRPr="00190AE2">
        <w:t xml:space="preserve">ystematic consultations with and among feminist and equality seeking groups </w:t>
      </w:r>
      <w:r w:rsidR="00063C02">
        <w:t xml:space="preserve">will be critical to the </w:t>
      </w:r>
      <w:r w:rsidRPr="00190AE2">
        <w:t>fram</w:t>
      </w:r>
      <w:r w:rsidR="00063C02">
        <w:t>ing</w:t>
      </w:r>
      <w:r w:rsidRPr="00190AE2">
        <w:t xml:space="preserve"> and implement</w:t>
      </w:r>
      <w:r w:rsidR="00063C02">
        <w:t>ation of</w:t>
      </w:r>
      <w:r w:rsidRPr="00190AE2">
        <w:t xml:space="preserve"> a comprehensive approach to VAW law reform</w:t>
      </w:r>
      <w:r w:rsidR="001116B2">
        <w:t xml:space="preserve"> in Canada</w:t>
      </w:r>
      <w:r w:rsidRPr="00190AE2">
        <w:t xml:space="preserve">.    </w:t>
      </w:r>
    </w:p>
    <w:p w14:paraId="658B651A" w14:textId="77777777" w:rsidR="00F550E1" w:rsidRPr="00190AE2" w:rsidRDefault="00F550E1" w:rsidP="00F550E1"/>
    <w:p w14:paraId="2FB27827" w14:textId="2D5AEAC6" w:rsidR="00F550E1" w:rsidRPr="00190AE2" w:rsidRDefault="00F550E1" w:rsidP="00F550E1">
      <w:r w:rsidRPr="00190AE2">
        <w:lastRenderedPageBreak/>
        <w:t xml:space="preserve">The </w:t>
      </w:r>
      <w:r w:rsidR="00533B33">
        <w:t>organizations</w:t>
      </w:r>
      <w:r w:rsidRPr="00190AE2">
        <w:t xml:space="preserve"> represented </w:t>
      </w:r>
      <w:r w:rsidR="009B0CE2">
        <w:t>at</w:t>
      </w:r>
      <w:r w:rsidRPr="00190AE2">
        <w:t xml:space="preserve"> the consultation were able to come to agreement on a range of issues related to VAW law reform to present to the SR VAW</w:t>
      </w:r>
      <w:r w:rsidR="001116B2">
        <w:t>,</w:t>
      </w:r>
      <w:r w:rsidRPr="00190AE2">
        <w:t xml:space="preserve"> with the request that she include these in </w:t>
      </w:r>
      <w:r w:rsidR="009B0CE2">
        <w:t>the</w:t>
      </w:r>
      <w:r w:rsidRPr="00190AE2">
        <w:t xml:space="preserve"> report of her official visit to Canada.  The participants also requested that she reflect the following in her report:</w:t>
      </w:r>
    </w:p>
    <w:p w14:paraId="6CB8449C" w14:textId="77777777" w:rsidR="00F550E1" w:rsidRPr="00190AE2" w:rsidRDefault="00F550E1" w:rsidP="00F550E1"/>
    <w:p w14:paraId="742D09B5" w14:textId="121D5624" w:rsidR="00F550E1" w:rsidRPr="00190AE2" w:rsidRDefault="00F550E1" w:rsidP="00533B33">
      <w:pPr>
        <w:pStyle w:val="ListParagraph"/>
        <w:numPr>
          <w:ilvl w:val="0"/>
          <w:numId w:val="24"/>
        </w:numPr>
      </w:pPr>
      <w:r w:rsidRPr="00190AE2">
        <w:t xml:space="preserve">The realities of women </w:t>
      </w:r>
      <w:r w:rsidR="001116B2">
        <w:t xml:space="preserve">in Canada </w:t>
      </w:r>
      <w:r w:rsidRPr="00190AE2">
        <w:t>experiencing violence remain dire</w:t>
      </w:r>
      <w:r w:rsidR="001116B2">
        <w:t>,</w:t>
      </w:r>
      <w:r w:rsidRPr="00190AE2">
        <w:t xml:space="preserve"> </w:t>
      </w:r>
      <w:r w:rsidR="001116B2">
        <w:t xml:space="preserve">and </w:t>
      </w:r>
      <w:r w:rsidRPr="00190AE2">
        <w:t>requir</w:t>
      </w:r>
      <w:r w:rsidR="001116B2">
        <w:t>e</w:t>
      </w:r>
      <w:r w:rsidRPr="00190AE2">
        <w:t xml:space="preserve"> immediate and systematic actions by all levels of government</w:t>
      </w:r>
      <w:r w:rsidR="00533B33">
        <w:t>;</w:t>
      </w:r>
      <w:r w:rsidRPr="00190AE2">
        <w:t xml:space="preserve"> </w:t>
      </w:r>
    </w:p>
    <w:p w14:paraId="7EDA5A76" w14:textId="77777777" w:rsidR="00F550E1" w:rsidRPr="00190AE2" w:rsidRDefault="00F550E1" w:rsidP="00F550E1">
      <w:pPr>
        <w:pStyle w:val="ListParagraph"/>
        <w:ind w:left="1080"/>
      </w:pPr>
    </w:p>
    <w:p w14:paraId="19CD6EDC" w14:textId="77777777" w:rsidR="00F550E1" w:rsidRPr="00190AE2" w:rsidRDefault="00533B33" w:rsidP="00533B33">
      <w:pPr>
        <w:pStyle w:val="ListParagraph"/>
        <w:numPr>
          <w:ilvl w:val="0"/>
          <w:numId w:val="24"/>
        </w:numPr>
      </w:pPr>
      <w:r>
        <w:t>W</w:t>
      </w:r>
      <w:r w:rsidR="00F550E1" w:rsidRPr="00190AE2">
        <w:t xml:space="preserve">omen in all their diversity must explicitly and specifically be at the </w:t>
      </w:r>
      <w:proofErr w:type="spellStart"/>
      <w:r w:rsidR="00F550E1" w:rsidRPr="00190AE2">
        <w:t>centre</w:t>
      </w:r>
      <w:proofErr w:type="spellEnd"/>
      <w:r w:rsidR="00F550E1" w:rsidRPr="00190AE2">
        <w:t xml:space="preserve"> of all VAW law reform in Canada</w:t>
      </w:r>
      <w:r>
        <w:t>;</w:t>
      </w:r>
    </w:p>
    <w:p w14:paraId="7922A97D" w14:textId="77777777" w:rsidR="00F550E1" w:rsidRPr="00190AE2" w:rsidRDefault="00F550E1" w:rsidP="00F550E1">
      <w:pPr>
        <w:pStyle w:val="ListParagraph"/>
        <w:ind w:left="1080"/>
      </w:pPr>
    </w:p>
    <w:p w14:paraId="41CD09C2" w14:textId="1C439107" w:rsidR="00F550E1" w:rsidRPr="00190AE2" w:rsidRDefault="00533B33" w:rsidP="00533B33">
      <w:pPr>
        <w:pStyle w:val="ListParagraph"/>
        <w:numPr>
          <w:ilvl w:val="0"/>
          <w:numId w:val="24"/>
        </w:numPr>
      </w:pPr>
      <w:r>
        <w:t>A</w:t>
      </w:r>
      <w:r w:rsidR="00F550E1" w:rsidRPr="00190AE2">
        <w:t xml:space="preserve">ll VAW law reform in Canada </w:t>
      </w:r>
      <w:r w:rsidR="001116B2">
        <w:t xml:space="preserve">must </w:t>
      </w:r>
      <w:r w:rsidR="00F550E1" w:rsidRPr="00190AE2">
        <w:t>reflect intersectional feminist analysis</w:t>
      </w:r>
      <w:r w:rsidR="00190AE2" w:rsidRPr="00190AE2">
        <w:t xml:space="preserve">, and be grounded in human rights and </w:t>
      </w:r>
      <w:r w:rsidR="00290585">
        <w:t xml:space="preserve">specifically </w:t>
      </w:r>
      <w:r w:rsidR="00190AE2" w:rsidRPr="00190AE2">
        <w:t>women’s human rights</w:t>
      </w:r>
      <w:r>
        <w:t>;</w:t>
      </w:r>
    </w:p>
    <w:p w14:paraId="71FC404C" w14:textId="77777777" w:rsidR="00F550E1" w:rsidRPr="00190AE2" w:rsidRDefault="00F550E1" w:rsidP="00F550E1">
      <w:pPr>
        <w:pStyle w:val="ListParagraph"/>
        <w:ind w:left="1080"/>
      </w:pPr>
    </w:p>
    <w:p w14:paraId="753BA83B" w14:textId="4DEF837E" w:rsidR="00F550E1" w:rsidRPr="00190AE2" w:rsidRDefault="00F550E1" w:rsidP="00533B33">
      <w:pPr>
        <w:pStyle w:val="ListParagraph"/>
        <w:numPr>
          <w:ilvl w:val="0"/>
          <w:numId w:val="24"/>
        </w:numPr>
      </w:pPr>
      <w:r w:rsidRPr="00190AE2">
        <w:t>Particularly because of the jurisdictional issues between federal/provincial and territorial governments</w:t>
      </w:r>
      <w:r w:rsidR="001116B2">
        <w:t xml:space="preserve"> in relation to VAW</w:t>
      </w:r>
      <w:r w:rsidRPr="00190AE2">
        <w:t>, it is all the more important that the federal government take leadership in ensuring that Canada meets its international and domestic obligations to prevent and respond to VAW in a systematic, comprehensive, coordinated and coherent way</w:t>
      </w:r>
      <w:r w:rsidR="00533B33">
        <w:t>;</w:t>
      </w:r>
    </w:p>
    <w:p w14:paraId="0CB1CCC2" w14:textId="77777777" w:rsidR="00F550E1" w:rsidRPr="00190AE2" w:rsidRDefault="00F550E1" w:rsidP="00F550E1">
      <w:pPr>
        <w:pStyle w:val="ListParagraph"/>
        <w:ind w:left="1080"/>
      </w:pPr>
    </w:p>
    <w:p w14:paraId="1C08E28E" w14:textId="05CA6C8C" w:rsidR="00F550E1" w:rsidRPr="00533B33" w:rsidRDefault="00F550E1" w:rsidP="00533B33">
      <w:pPr>
        <w:pStyle w:val="ListParagraph"/>
        <w:numPr>
          <w:ilvl w:val="0"/>
          <w:numId w:val="24"/>
        </w:numPr>
        <w:rPr>
          <w:rFonts w:cs="Times New Roman"/>
        </w:rPr>
      </w:pPr>
      <w:r w:rsidRPr="00533B33">
        <w:rPr>
          <w:rFonts w:cs="Times New Roman"/>
        </w:rPr>
        <w:t xml:space="preserve">All analysis of the legislative framework required to prevent and respond to VAW must be framed to also recognize and redress women’s poverty and economic insecurity, which structures and shapes </w:t>
      </w:r>
      <w:r w:rsidR="00290585">
        <w:rPr>
          <w:rFonts w:cs="Times New Roman"/>
        </w:rPr>
        <w:t>women’</w:t>
      </w:r>
      <w:r w:rsidR="00920008">
        <w:rPr>
          <w:rFonts w:cs="Times New Roman"/>
        </w:rPr>
        <w:t>s</w:t>
      </w:r>
      <w:r w:rsidR="00290585">
        <w:rPr>
          <w:rFonts w:cs="Times New Roman"/>
        </w:rPr>
        <w:t xml:space="preserve"> </w:t>
      </w:r>
      <w:r w:rsidRPr="00533B33">
        <w:rPr>
          <w:rFonts w:cs="Times New Roman"/>
        </w:rPr>
        <w:t>experience</w:t>
      </w:r>
      <w:r w:rsidR="00290585">
        <w:rPr>
          <w:rFonts w:cs="Times New Roman"/>
        </w:rPr>
        <w:t>s</w:t>
      </w:r>
      <w:r w:rsidRPr="00533B33">
        <w:rPr>
          <w:rFonts w:cs="Times New Roman"/>
        </w:rPr>
        <w:t xml:space="preserve"> of violence, and </w:t>
      </w:r>
      <w:r w:rsidR="001116B2">
        <w:rPr>
          <w:rFonts w:cs="Times New Roman"/>
        </w:rPr>
        <w:t xml:space="preserve">especially </w:t>
      </w:r>
      <w:r w:rsidRPr="00533B33">
        <w:rPr>
          <w:rFonts w:cs="Times New Roman"/>
        </w:rPr>
        <w:t xml:space="preserve">those of groups of women that are particularly vulnerable to VAW in its many forms. </w:t>
      </w:r>
      <w:r w:rsidR="00190AE2" w:rsidRPr="00533B33">
        <w:rPr>
          <w:rFonts w:cs="Times New Roman"/>
        </w:rPr>
        <w:t xml:space="preserve">Ensuring that the historic and current context is well understood is essential to </w:t>
      </w:r>
      <w:r w:rsidR="00290585">
        <w:rPr>
          <w:rFonts w:cs="Times New Roman"/>
        </w:rPr>
        <w:t>informin</w:t>
      </w:r>
      <w:r w:rsidR="00190AE2" w:rsidRPr="00533B33">
        <w:rPr>
          <w:rFonts w:cs="Times New Roman"/>
        </w:rPr>
        <w:t>g this analysis, particularly in relation to colonialism and the ongoing impacts of colonialism, including as they impact on violence against Indigenous women</w:t>
      </w:r>
      <w:r w:rsidR="00533B33">
        <w:rPr>
          <w:rFonts w:cs="Times New Roman"/>
        </w:rPr>
        <w:t>; and</w:t>
      </w:r>
    </w:p>
    <w:p w14:paraId="1BE81E48" w14:textId="77777777" w:rsidR="00F550E1" w:rsidRPr="00190AE2" w:rsidRDefault="00F550E1" w:rsidP="00F550E1">
      <w:pPr>
        <w:pStyle w:val="ListParagraph"/>
        <w:rPr>
          <w:rFonts w:cs="Times New Roman"/>
        </w:rPr>
      </w:pPr>
    </w:p>
    <w:p w14:paraId="32DE6894" w14:textId="77777777" w:rsidR="00F550E1" w:rsidRPr="00533B33" w:rsidRDefault="00F550E1" w:rsidP="00533B33">
      <w:pPr>
        <w:pStyle w:val="ListParagraph"/>
        <w:numPr>
          <w:ilvl w:val="0"/>
          <w:numId w:val="24"/>
        </w:numPr>
        <w:rPr>
          <w:rFonts w:cs="Calibri"/>
          <w:szCs w:val="22"/>
        </w:rPr>
      </w:pPr>
      <w:r w:rsidRPr="00190AE2">
        <w:t>Law on the books is very important to framing responses to issues of violence against women, and, as feminist and equality seeking groups have clearly identified, it is also extremely important to systematically monitor the impacts th</w:t>
      </w:r>
      <w:r w:rsidR="00290585">
        <w:t>at</w:t>
      </w:r>
      <w:r w:rsidRPr="00190AE2">
        <w:t xml:space="preserve"> law </w:t>
      </w:r>
      <w:r w:rsidR="003C7FBA" w:rsidRPr="00190AE2">
        <w:t xml:space="preserve">in practice </w:t>
      </w:r>
      <w:r w:rsidRPr="00190AE2">
        <w:t>is having on women, paying particular attention to the impacts of the law</w:t>
      </w:r>
      <w:r w:rsidR="00190AE2" w:rsidRPr="00190AE2">
        <w:t xml:space="preserve">, and law in practice, </w:t>
      </w:r>
      <w:r w:rsidRPr="00190AE2">
        <w:t>on specific groups of women</w:t>
      </w:r>
      <w:r w:rsidR="00533B33">
        <w:t>.</w:t>
      </w:r>
    </w:p>
    <w:p w14:paraId="195EC6FE" w14:textId="77777777" w:rsidR="00F550E1" w:rsidRPr="00190AE2" w:rsidRDefault="00F550E1" w:rsidP="00F550E1"/>
    <w:p w14:paraId="6404ADDA" w14:textId="77777777" w:rsidR="00F550E1" w:rsidRPr="00190AE2" w:rsidRDefault="00F550E1" w:rsidP="00F550E1">
      <w:r w:rsidRPr="00190AE2">
        <w:t xml:space="preserve">While there </w:t>
      </w:r>
      <w:r w:rsidR="00254302">
        <w:t>i</w:t>
      </w:r>
      <w:r w:rsidRPr="00190AE2">
        <w:t xml:space="preserve">s a wide range of VAW issues that require some aspect of law reform, the </w:t>
      </w:r>
      <w:r w:rsidR="00254302">
        <w:t xml:space="preserve">participating organizations </w:t>
      </w:r>
      <w:r w:rsidRPr="00190AE2">
        <w:t>agreed on specific law reform recommendation</w:t>
      </w:r>
      <w:r w:rsidR="00980277">
        <w:t>s</w:t>
      </w:r>
      <w:r w:rsidRPr="00190AE2">
        <w:t xml:space="preserve"> in </w:t>
      </w:r>
      <w:r w:rsidR="00254302">
        <w:t>five (</w:t>
      </w:r>
      <w:r w:rsidRPr="00190AE2">
        <w:t>5</w:t>
      </w:r>
      <w:r w:rsidR="00254302">
        <w:t>)</w:t>
      </w:r>
      <w:r w:rsidRPr="00190AE2">
        <w:t xml:space="preserve"> umbrella areas</w:t>
      </w:r>
      <w:r w:rsidR="00254302">
        <w:t xml:space="preserve"> of violence against women and girls</w:t>
      </w:r>
      <w:r w:rsidRPr="00190AE2">
        <w:t>:</w:t>
      </w:r>
    </w:p>
    <w:p w14:paraId="228E6B26" w14:textId="77777777" w:rsidR="00F550E1" w:rsidRPr="00190AE2" w:rsidRDefault="00F550E1" w:rsidP="00F550E1">
      <w:pPr>
        <w:pStyle w:val="ListParagraph"/>
        <w:spacing w:after="160"/>
        <w:jc w:val="both"/>
        <w:rPr>
          <w:rFonts w:cs="Arial"/>
          <w:color w:val="000000"/>
          <w:spacing w:val="4"/>
          <w:szCs w:val="27"/>
        </w:rPr>
      </w:pPr>
    </w:p>
    <w:p w14:paraId="4CB15A4F" w14:textId="77777777" w:rsidR="00F550E1" w:rsidRPr="00533B33" w:rsidRDefault="00F550E1" w:rsidP="00533B33">
      <w:pPr>
        <w:pStyle w:val="ListParagraph"/>
        <w:numPr>
          <w:ilvl w:val="0"/>
          <w:numId w:val="26"/>
        </w:numPr>
        <w:spacing w:after="160"/>
        <w:jc w:val="both"/>
        <w:rPr>
          <w:rFonts w:cs="Arial"/>
          <w:color w:val="000000"/>
          <w:spacing w:val="4"/>
          <w:szCs w:val="27"/>
        </w:rPr>
      </w:pPr>
      <w:r w:rsidRPr="00533B33">
        <w:rPr>
          <w:rFonts w:cs="Arial"/>
          <w:color w:val="222222"/>
          <w:szCs w:val="19"/>
          <w:shd w:val="clear" w:color="auto" w:fill="FFFFFF"/>
        </w:rPr>
        <w:t xml:space="preserve">Intimate partner/domestic violence against </w:t>
      </w:r>
      <w:r w:rsidR="00254302">
        <w:rPr>
          <w:rFonts w:cs="Arial"/>
          <w:color w:val="222222"/>
          <w:szCs w:val="19"/>
          <w:shd w:val="clear" w:color="auto" w:fill="FFFFFF"/>
        </w:rPr>
        <w:t xml:space="preserve">women and girls </w:t>
      </w:r>
      <w:r w:rsidRPr="00533B33">
        <w:rPr>
          <w:rFonts w:cs="Arial"/>
          <w:color w:val="222222"/>
          <w:szCs w:val="19"/>
          <w:shd w:val="clear" w:color="auto" w:fill="FFFFFF"/>
        </w:rPr>
        <w:tab/>
      </w:r>
    </w:p>
    <w:p w14:paraId="4AE269CE" w14:textId="4CD22AE5" w:rsidR="00F550E1" w:rsidRPr="00190AE2" w:rsidRDefault="00F550E1" w:rsidP="00533B33">
      <w:pPr>
        <w:pStyle w:val="ListParagraph"/>
        <w:numPr>
          <w:ilvl w:val="0"/>
          <w:numId w:val="26"/>
        </w:numPr>
        <w:spacing w:after="160"/>
        <w:jc w:val="both"/>
        <w:rPr>
          <w:rFonts w:cs="Arial"/>
          <w:color w:val="222222"/>
          <w:szCs w:val="19"/>
          <w:shd w:val="clear" w:color="auto" w:fill="FFFFFF"/>
        </w:rPr>
      </w:pPr>
      <w:r w:rsidRPr="00190AE2">
        <w:rPr>
          <w:rFonts w:cs="Arial"/>
          <w:color w:val="222222"/>
          <w:szCs w:val="19"/>
          <w:shd w:val="clear" w:color="auto" w:fill="FFFFFF"/>
        </w:rPr>
        <w:t xml:space="preserve">Sexual assault </w:t>
      </w:r>
      <w:r w:rsidR="001116B2">
        <w:rPr>
          <w:rFonts w:cs="Arial"/>
          <w:color w:val="222222"/>
          <w:szCs w:val="19"/>
          <w:shd w:val="clear" w:color="auto" w:fill="FFFFFF"/>
        </w:rPr>
        <w:t xml:space="preserve">and </w:t>
      </w:r>
      <w:r w:rsidRPr="00190AE2">
        <w:rPr>
          <w:rFonts w:cs="Arial"/>
          <w:color w:val="222222"/>
          <w:szCs w:val="19"/>
          <w:shd w:val="clear" w:color="auto" w:fill="FFFFFF"/>
        </w:rPr>
        <w:t xml:space="preserve">trafficking of </w:t>
      </w:r>
      <w:r w:rsidR="00254302">
        <w:rPr>
          <w:rFonts w:cs="Arial"/>
          <w:color w:val="222222"/>
          <w:szCs w:val="19"/>
          <w:shd w:val="clear" w:color="auto" w:fill="FFFFFF"/>
        </w:rPr>
        <w:t>women and girls</w:t>
      </w:r>
      <w:r w:rsidRPr="00190AE2">
        <w:rPr>
          <w:rFonts w:cs="Arial"/>
          <w:color w:val="222222"/>
          <w:szCs w:val="19"/>
          <w:shd w:val="clear" w:color="auto" w:fill="FFFFFF"/>
        </w:rPr>
        <w:tab/>
      </w:r>
      <w:r w:rsidRPr="00190AE2">
        <w:rPr>
          <w:rFonts w:cs="Arial"/>
          <w:color w:val="222222"/>
          <w:szCs w:val="19"/>
          <w:shd w:val="clear" w:color="auto" w:fill="FFFFFF"/>
        </w:rPr>
        <w:tab/>
      </w:r>
    </w:p>
    <w:p w14:paraId="6B01ED42" w14:textId="77777777" w:rsidR="00F550E1" w:rsidRPr="00190AE2" w:rsidRDefault="00F550E1" w:rsidP="00533B33">
      <w:pPr>
        <w:pStyle w:val="ListParagraph"/>
        <w:numPr>
          <w:ilvl w:val="0"/>
          <w:numId w:val="26"/>
        </w:numPr>
        <w:spacing w:after="160"/>
        <w:rPr>
          <w:rFonts w:cs="Arial"/>
          <w:color w:val="222222"/>
          <w:szCs w:val="19"/>
          <w:shd w:val="clear" w:color="auto" w:fill="FFFFFF"/>
        </w:rPr>
      </w:pPr>
      <w:r w:rsidRPr="00190AE2">
        <w:rPr>
          <w:rFonts w:cs="Arial"/>
          <w:color w:val="222222"/>
          <w:szCs w:val="19"/>
          <w:shd w:val="clear" w:color="auto" w:fill="FFFFFF"/>
        </w:rPr>
        <w:t xml:space="preserve">Sexual harassment </w:t>
      </w:r>
      <w:r w:rsidR="00254302">
        <w:rPr>
          <w:rFonts w:cs="Arial"/>
          <w:color w:val="222222"/>
          <w:szCs w:val="19"/>
          <w:shd w:val="clear" w:color="auto" w:fill="FFFFFF"/>
        </w:rPr>
        <w:t>and violence against women and girls a</w:t>
      </w:r>
      <w:r w:rsidRPr="00190AE2">
        <w:rPr>
          <w:rFonts w:cs="Arial"/>
          <w:color w:val="222222"/>
          <w:szCs w:val="19"/>
          <w:shd w:val="clear" w:color="auto" w:fill="FFFFFF"/>
        </w:rPr>
        <w:t>t work, in school</w:t>
      </w:r>
      <w:r w:rsidR="00533B33">
        <w:rPr>
          <w:rFonts w:cs="Arial"/>
          <w:color w:val="222222"/>
          <w:szCs w:val="19"/>
          <w:shd w:val="clear" w:color="auto" w:fill="FFFFFF"/>
        </w:rPr>
        <w:t>s</w:t>
      </w:r>
      <w:r w:rsidRPr="00190AE2">
        <w:rPr>
          <w:rFonts w:cs="Arial"/>
          <w:color w:val="222222"/>
          <w:szCs w:val="19"/>
          <w:shd w:val="clear" w:color="auto" w:fill="FFFFFF"/>
        </w:rPr>
        <w:t xml:space="preserve"> &amp; facilitated by technology</w:t>
      </w:r>
    </w:p>
    <w:p w14:paraId="43F7EC9F" w14:textId="77777777" w:rsidR="00F550E1" w:rsidRPr="00190AE2" w:rsidRDefault="00F550E1" w:rsidP="00533B33">
      <w:pPr>
        <w:pStyle w:val="ListParagraph"/>
        <w:numPr>
          <w:ilvl w:val="0"/>
          <w:numId w:val="26"/>
        </w:numPr>
        <w:spacing w:after="160"/>
        <w:jc w:val="both"/>
        <w:rPr>
          <w:rFonts w:cs="Arial"/>
          <w:color w:val="222222"/>
          <w:szCs w:val="19"/>
          <w:shd w:val="clear" w:color="auto" w:fill="FFFFFF"/>
        </w:rPr>
      </w:pPr>
      <w:r w:rsidRPr="00190AE2">
        <w:rPr>
          <w:rFonts w:cs="Arial"/>
          <w:color w:val="222222"/>
          <w:szCs w:val="19"/>
          <w:shd w:val="clear" w:color="auto" w:fill="FFFFFF"/>
        </w:rPr>
        <w:lastRenderedPageBreak/>
        <w:t>V</w:t>
      </w:r>
      <w:r w:rsidR="00533B33">
        <w:rPr>
          <w:rFonts w:cs="Arial"/>
          <w:color w:val="222222"/>
          <w:szCs w:val="19"/>
          <w:shd w:val="clear" w:color="auto" w:fill="FFFFFF"/>
        </w:rPr>
        <w:t xml:space="preserve">iolence against women and girls </w:t>
      </w:r>
      <w:r w:rsidRPr="00190AE2">
        <w:rPr>
          <w:rFonts w:cs="Arial"/>
          <w:color w:val="222222"/>
          <w:szCs w:val="19"/>
          <w:shd w:val="clear" w:color="auto" w:fill="FFFFFF"/>
        </w:rPr>
        <w:t xml:space="preserve">related to </w:t>
      </w:r>
      <w:r w:rsidR="00533B33">
        <w:rPr>
          <w:rFonts w:cs="Arial"/>
          <w:color w:val="222222"/>
          <w:szCs w:val="19"/>
          <w:shd w:val="clear" w:color="auto" w:fill="FFFFFF"/>
        </w:rPr>
        <w:t>sexual and reproductive health and rights (</w:t>
      </w:r>
      <w:r w:rsidRPr="00190AE2">
        <w:rPr>
          <w:rFonts w:cs="Arial"/>
          <w:color w:val="222222"/>
          <w:szCs w:val="19"/>
          <w:shd w:val="clear" w:color="auto" w:fill="FFFFFF"/>
        </w:rPr>
        <w:t>SRHR</w:t>
      </w:r>
      <w:r w:rsidR="00533B33">
        <w:rPr>
          <w:rFonts w:cs="Arial"/>
          <w:color w:val="222222"/>
          <w:szCs w:val="19"/>
          <w:shd w:val="clear" w:color="auto" w:fill="FFFFFF"/>
        </w:rPr>
        <w:t>)</w:t>
      </w:r>
      <w:r w:rsidRPr="00190AE2">
        <w:rPr>
          <w:rFonts w:cs="Arial"/>
          <w:color w:val="222222"/>
          <w:szCs w:val="19"/>
          <w:shd w:val="clear" w:color="auto" w:fill="FFFFFF"/>
        </w:rPr>
        <w:tab/>
      </w:r>
      <w:r w:rsidRPr="00190AE2">
        <w:rPr>
          <w:rFonts w:cs="Arial"/>
          <w:color w:val="222222"/>
          <w:szCs w:val="19"/>
          <w:shd w:val="clear" w:color="auto" w:fill="FFFFFF"/>
        </w:rPr>
        <w:tab/>
      </w:r>
      <w:r w:rsidRPr="00190AE2">
        <w:rPr>
          <w:rFonts w:cs="Arial"/>
          <w:color w:val="222222"/>
          <w:szCs w:val="19"/>
          <w:shd w:val="clear" w:color="auto" w:fill="FFFFFF"/>
        </w:rPr>
        <w:tab/>
      </w:r>
      <w:r w:rsidRPr="00190AE2">
        <w:rPr>
          <w:rFonts w:cs="Arial"/>
          <w:color w:val="222222"/>
          <w:szCs w:val="19"/>
          <w:shd w:val="clear" w:color="auto" w:fill="FFFFFF"/>
        </w:rPr>
        <w:tab/>
      </w:r>
    </w:p>
    <w:p w14:paraId="193D5C1E" w14:textId="77777777" w:rsidR="00F550E1" w:rsidRPr="00190AE2" w:rsidRDefault="00F550E1" w:rsidP="00533B33">
      <w:pPr>
        <w:pStyle w:val="ListParagraph"/>
        <w:numPr>
          <w:ilvl w:val="0"/>
          <w:numId w:val="26"/>
        </w:numPr>
        <w:rPr>
          <w:rFonts w:cs="Calibri"/>
          <w:szCs w:val="22"/>
        </w:rPr>
      </w:pPr>
      <w:r w:rsidRPr="00190AE2">
        <w:rPr>
          <w:rFonts w:cs="Arial"/>
          <w:color w:val="222222"/>
          <w:szCs w:val="19"/>
          <w:shd w:val="clear" w:color="auto" w:fill="FFFFFF"/>
        </w:rPr>
        <w:t>Violence against women in detention</w:t>
      </w:r>
      <w:r w:rsidRPr="00190AE2">
        <w:rPr>
          <w:rFonts w:cs="Arial"/>
          <w:color w:val="222222"/>
          <w:szCs w:val="19"/>
          <w:shd w:val="clear" w:color="auto" w:fill="FFFFFF"/>
        </w:rPr>
        <w:tab/>
      </w:r>
    </w:p>
    <w:p w14:paraId="6203A1E5" w14:textId="77777777" w:rsidR="00F550E1" w:rsidRPr="00190AE2" w:rsidRDefault="00F550E1" w:rsidP="00F550E1">
      <w:pPr>
        <w:rPr>
          <w:rFonts w:cs="Calibri"/>
        </w:rPr>
      </w:pPr>
    </w:p>
    <w:p w14:paraId="4066B478" w14:textId="77777777" w:rsidR="00F550E1" w:rsidRPr="00190AE2" w:rsidRDefault="00F550E1" w:rsidP="00F550E1">
      <w:pPr>
        <w:rPr>
          <w:rFonts w:cs="Calibri"/>
        </w:rPr>
      </w:pPr>
    </w:p>
    <w:p w14:paraId="3F26371C" w14:textId="5394E4C3" w:rsidR="00F550E1" w:rsidRPr="00533B33" w:rsidRDefault="00F550E1" w:rsidP="00533B33">
      <w:pPr>
        <w:rPr>
          <w:rFonts w:cs="Calibri"/>
        </w:rPr>
      </w:pPr>
      <w:r w:rsidRPr="00190AE2">
        <w:t xml:space="preserve">This list is by no means comprehensive as there are many additional </w:t>
      </w:r>
      <w:r w:rsidR="009A4C5C">
        <w:t xml:space="preserve">areas </w:t>
      </w:r>
      <w:r w:rsidRPr="00190AE2">
        <w:t xml:space="preserve">where VAW law reform </w:t>
      </w:r>
      <w:r w:rsidR="00D778F4">
        <w:t>and coherent application and administration of the law</w:t>
      </w:r>
      <w:r w:rsidR="00D778F4" w:rsidRPr="00190AE2">
        <w:t xml:space="preserve"> </w:t>
      </w:r>
      <w:r w:rsidRPr="00190AE2">
        <w:t xml:space="preserve">is required. </w:t>
      </w:r>
      <w:r w:rsidR="00533B33">
        <w:rPr>
          <w:rFonts w:cs="Calibri"/>
        </w:rPr>
        <w:t xml:space="preserve"> </w:t>
      </w:r>
      <w:r w:rsidRPr="00190AE2">
        <w:t>However, it is important to highlight that these recommendations are agreed</w:t>
      </w:r>
      <w:r w:rsidR="00980277">
        <w:t xml:space="preserve"> to</w:t>
      </w:r>
      <w:r w:rsidRPr="00190AE2">
        <w:t xml:space="preserve"> by all the national and equality seeking groups represented in th</w:t>
      </w:r>
      <w:r w:rsidR="00206B11">
        <w:t>e NAWL</w:t>
      </w:r>
      <w:r w:rsidRPr="00190AE2">
        <w:t xml:space="preserve"> consultation</w:t>
      </w:r>
      <w:r w:rsidR="005D17C7">
        <w:t>s</w:t>
      </w:r>
      <w:r w:rsidRPr="00190AE2">
        <w:t xml:space="preserve">.  </w:t>
      </w:r>
    </w:p>
    <w:p w14:paraId="381D0D02" w14:textId="77777777" w:rsidR="005C07CB" w:rsidRPr="00190AE2" w:rsidRDefault="005C07CB">
      <w:pPr>
        <w:rPr>
          <w:rFonts w:cs="Times New Roman"/>
        </w:rPr>
      </w:pPr>
    </w:p>
    <w:p w14:paraId="4D88C56A" w14:textId="17FEE4F6" w:rsidR="00ED2EFA" w:rsidRPr="00533B33" w:rsidRDefault="00533B33" w:rsidP="00533B33">
      <w:pPr>
        <w:rPr>
          <w:rFonts w:cs="Times New Roman"/>
        </w:rPr>
      </w:pPr>
      <w:r>
        <w:rPr>
          <w:rFonts w:cs="Times New Roman"/>
        </w:rPr>
        <w:t>Specific law reform efforts must be prioritized to prevent and respond to the many forms of violence experienced by Indigenous women and girls in Canada.</w:t>
      </w:r>
      <w:r w:rsidR="00206B11">
        <w:rPr>
          <w:rStyle w:val="FootnoteReference"/>
          <w:rFonts w:cs="Times New Roman"/>
        </w:rPr>
        <w:footnoteReference w:id="3"/>
      </w:r>
      <w:r>
        <w:rPr>
          <w:rFonts w:cs="Times New Roman"/>
        </w:rPr>
        <w:t xml:space="preserve">  </w:t>
      </w:r>
      <w:r w:rsidR="00ED2EFA" w:rsidRPr="00190AE2">
        <w:rPr>
          <w:rFonts w:cs="Arial"/>
        </w:rPr>
        <w:t xml:space="preserve">The </w:t>
      </w:r>
      <w:r w:rsidR="00ED2EFA" w:rsidRPr="00190AE2">
        <w:rPr>
          <w:rFonts w:cs="Arial"/>
          <w:i/>
        </w:rPr>
        <w:t>Indian Act</w:t>
      </w:r>
      <w:r w:rsidR="00ED2EFA" w:rsidRPr="00190AE2">
        <w:rPr>
          <w:rFonts w:cs="Arial"/>
        </w:rPr>
        <w:t xml:space="preserve"> is a colonial and patriarchal document at its core</w:t>
      </w:r>
      <w:r>
        <w:rPr>
          <w:rFonts w:cs="Arial"/>
        </w:rPr>
        <w:t xml:space="preserve"> which i</w:t>
      </w:r>
      <w:r w:rsidR="00ED2EFA" w:rsidRPr="00190AE2">
        <w:rPr>
          <w:rFonts w:cs="Arial"/>
        </w:rPr>
        <w:t>s embedded with historical racial and sex-based discrimination, which continues to allow violence to be perpetrated against Indigenous women.</w:t>
      </w:r>
      <w:r w:rsidR="008C3C68" w:rsidRPr="00190AE2">
        <w:rPr>
          <w:rFonts w:cs="Arial"/>
        </w:rPr>
        <w:t xml:space="preserve"> </w:t>
      </w:r>
      <w:r w:rsidR="00ED2EFA" w:rsidRPr="00190AE2">
        <w:rPr>
          <w:rFonts w:cs="Arial"/>
        </w:rPr>
        <w:t xml:space="preserve">Canada’s history is </w:t>
      </w:r>
      <w:proofErr w:type="spellStart"/>
      <w:r w:rsidR="00ED2EFA" w:rsidRPr="00190AE2">
        <w:rPr>
          <w:rFonts w:cs="Arial"/>
        </w:rPr>
        <w:t>colo</w:t>
      </w:r>
      <w:r w:rsidR="00980277">
        <w:rPr>
          <w:rFonts w:cs="Arial"/>
        </w:rPr>
        <w:t>u</w:t>
      </w:r>
      <w:r w:rsidR="00ED2EFA" w:rsidRPr="00190AE2">
        <w:rPr>
          <w:rFonts w:cs="Arial"/>
        </w:rPr>
        <w:t>red</w:t>
      </w:r>
      <w:proofErr w:type="spellEnd"/>
      <w:r w:rsidR="00ED2EFA" w:rsidRPr="00190AE2">
        <w:rPr>
          <w:rFonts w:cs="Arial"/>
        </w:rPr>
        <w:t xml:space="preserve"> by </w:t>
      </w:r>
      <w:r w:rsidR="00980277">
        <w:rPr>
          <w:rFonts w:cs="Arial"/>
        </w:rPr>
        <w:t xml:space="preserve">the </w:t>
      </w:r>
      <w:r w:rsidR="00ED2EFA" w:rsidRPr="00190AE2">
        <w:rPr>
          <w:rFonts w:cs="Arial"/>
        </w:rPr>
        <w:t xml:space="preserve">legacy of the </w:t>
      </w:r>
      <w:r w:rsidR="00ED2EFA" w:rsidRPr="00190AE2">
        <w:rPr>
          <w:rFonts w:cs="Arial"/>
          <w:i/>
        </w:rPr>
        <w:t>Indian Act.</w:t>
      </w:r>
      <w:r w:rsidR="00ED2EFA" w:rsidRPr="00190AE2">
        <w:rPr>
          <w:rFonts w:cs="Arial"/>
        </w:rPr>
        <w:t xml:space="preserve"> NWAC understands the </w:t>
      </w:r>
      <w:r w:rsidR="00ED2EFA" w:rsidRPr="00190AE2">
        <w:rPr>
          <w:rFonts w:cs="Arial"/>
          <w:i/>
        </w:rPr>
        <w:t>Indian Act</w:t>
      </w:r>
      <w:r w:rsidR="00ED2EFA" w:rsidRPr="00190AE2">
        <w:rPr>
          <w:rFonts w:cs="Arial"/>
        </w:rPr>
        <w:t xml:space="preserve"> is the embodiment of a colonial imposition which regulates who is considered to be Indigenous and who is</w:t>
      </w:r>
      <w:r w:rsidR="007C4F88">
        <w:rPr>
          <w:rFonts w:cs="Arial"/>
        </w:rPr>
        <w:t xml:space="preserve"> </w:t>
      </w:r>
      <w:r w:rsidR="00ED2EFA" w:rsidRPr="00190AE2">
        <w:rPr>
          <w:rFonts w:cs="Arial"/>
        </w:rPr>
        <w:t>n</w:t>
      </w:r>
      <w:r w:rsidR="007C4F88">
        <w:rPr>
          <w:rFonts w:cs="Arial"/>
        </w:rPr>
        <w:t>o</w:t>
      </w:r>
      <w:r w:rsidR="00ED2EFA" w:rsidRPr="00190AE2">
        <w:rPr>
          <w:rFonts w:cs="Arial"/>
        </w:rPr>
        <w:t xml:space="preserve">t. It creates jurisdictional and logistical barriers to Indigenous people receiving services. The </w:t>
      </w:r>
      <w:r w:rsidR="00ED2EFA" w:rsidRPr="00190AE2">
        <w:rPr>
          <w:rFonts w:cs="Arial"/>
          <w:i/>
        </w:rPr>
        <w:t>Indian Act</w:t>
      </w:r>
      <w:r w:rsidR="00ED2EFA" w:rsidRPr="00190AE2">
        <w:rPr>
          <w:rFonts w:cs="Arial"/>
        </w:rPr>
        <w:t xml:space="preserve"> works to systemically reduce the number of eligible First Nations people and is a form of cultural genocide. The Indian Act also creates hierarchies among Indigenous groups based on whether or not a person has status and what provisions they have status under. This hierarchy perpetrates lateral violence through communities. In the </w:t>
      </w:r>
      <w:r w:rsidR="00ED2EFA" w:rsidRPr="00190AE2">
        <w:rPr>
          <w:rFonts w:cs="Arial"/>
          <w:i/>
        </w:rPr>
        <w:t>Act</w:t>
      </w:r>
      <w:r w:rsidR="00ED2EFA" w:rsidRPr="00190AE2">
        <w:rPr>
          <w:rFonts w:cs="Arial"/>
        </w:rPr>
        <w:t xml:space="preserve">, Indigenous women were not granted status on the same terms as Indigenous men. Indigenous women faced many sexist barriers to having their identity </w:t>
      </w:r>
      <w:r w:rsidR="00980277">
        <w:rPr>
          <w:rFonts w:cs="Arial"/>
        </w:rPr>
        <w:t>recognized</w:t>
      </w:r>
      <w:r w:rsidR="00ED2EFA" w:rsidRPr="00190AE2">
        <w:rPr>
          <w:rFonts w:cs="Arial"/>
        </w:rPr>
        <w:t>. Indigenous women have been forcibly disenfranchised from their communities when they marry a non-Indigenous partner, and even when they are born between certain years.  Bill S-3</w:t>
      </w:r>
      <w:r w:rsidR="00980277">
        <w:rPr>
          <w:rFonts w:cs="Arial"/>
        </w:rPr>
        <w:t xml:space="preserve"> </w:t>
      </w:r>
      <w:r w:rsidR="00980277" w:rsidRPr="00980277">
        <w:rPr>
          <w:rFonts w:cs="Arial"/>
          <w:i/>
          <w:iCs/>
        </w:rPr>
        <w:t xml:space="preserve">An Act to amend the Indian Act in response to the Superior Court of Quebec decision in </w:t>
      </w:r>
      <w:bookmarkStart w:id="1" w:name="_Hlk512232827"/>
      <w:proofErr w:type="spellStart"/>
      <w:r w:rsidR="00980277" w:rsidRPr="00980277">
        <w:rPr>
          <w:rFonts w:cs="Arial"/>
          <w:i/>
          <w:iCs/>
        </w:rPr>
        <w:t>Descheneaux</w:t>
      </w:r>
      <w:proofErr w:type="spellEnd"/>
      <w:r w:rsidR="00980277" w:rsidRPr="00980277">
        <w:rPr>
          <w:rFonts w:cs="Arial"/>
          <w:i/>
          <w:iCs/>
        </w:rPr>
        <w:t xml:space="preserve"> c. Canada (</w:t>
      </w:r>
      <w:proofErr w:type="spellStart"/>
      <w:r w:rsidR="00980277" w:rsidRPr="00980277">
        <w:rPr>
          <w:rFonts w:cs="Arial"/>
          <w:i/>
          <w:iCs/>
        </w:rPr>
        <w:t>Procureur</w:t>
      </w:r>
      <w:proofErr w:type="spellEnd"/>
      <w:r w:rsidR="00980277" w:rsidRPr="00980277">
        <w:rPr>
          <w:rFonts w:cs="Arial"/>
          <w:i/>
          <w:iCs/>
        </w:rPr>
        <w:t xml:space="preserve"> </w:t>
      </w:r>
      <w:proofErr w:type="spellStart"/>
      <w:r w:rsidR="00980277" w:rsidRPr="00980277">
        <w:rPr>
          <w:rFonts w:cs="Arial"/>
          <w:i/>
          <w:iCs/>
        </w:rPr>
        <w:t>général</w:t>
      </w:r>
      <w:proofErr w:type="spellEnd"/>
      <w:r w:rsidR="00980277" w:rsidRPr="00980277">
        <w:rPr>
          <w:rFonts w:cs="Arial"/>
          <w:i/>
          <w:iCs/>
        </w:rPr>
        <w:t>)</w:t>
      </w:r>
      <w:bookmarkEnd w:id="1"/>
      <w:r w:rsidR="00980277" w:rsidRPr="00980277">
        <w:rPr>
          <w:rFonts w:cs="Arial"/>
        </w:rPr>
        <w:t> </w:t>
      </w:r>
      <w:r w:rsidR="00ED2EFA" w:rsidRPr="00190AE2">
        <w:rPr>
          <w:rFonts w:cs="Arial"/>
        </w:rPr>
        <w:t xml:space="preserve">was passed on December 4, 2017 in response to the </w:t>
      </w:r>
      <w:proofErr w:type="spellStart"/>
      <w:r w:rsidR="00ED2EFA" w:rsidRPr="00190AE2">
        <w:rPr>
          <w:rFonts w:cs="Arial"/>
          <w:i/>
        </w:rPr>
        <w:t>Descheneaux</w:t>
      </w:r>
      <w:proofErr w:type="spellEnd"/>
      <w:r w:rsidR="00ED2EFA" w:rsidRPr="00190AE2">
        <w:rPr>
          <w:rFonts w:cs="Arial"/>
        </w:rPr>
        <w:t xml:space="preserve"> </w:t>
      </w:r>
      <w:r w:rsidR="00980277">
        <w:rPr>
          <w:rStyle w:val="FootnoteReference"/>
          <w:rFonts w:cs="Arial"/>
        </w:rPr>
        <w:footnoteReference w:id="4"/>
      </w:r>
      <w:r w:rsidR="001116B2">
        <w:rPr>
          <w:rFonts w:cs="Arial"/>
        </w:rPr>
        <w:t xml:space="preserve"> </w:t>
      </w:r>
      <w:r w:rsidR="00ED2EFA" w:rsidRPr="00190AE2">
        <w:rPr>
          <w:rFonts w:cs="Arial"/>
        </w:rPr>
        <w:t xml:space="preserve">case, with the purpose of correcting the sex-based discrimination in the </w:t>
      </w:r>
      <w:r w:rsidR="00ED2EFA" w:rsidRPr="00190AE2">
        <w:rPr>
          <w:rFonts w:cs="Arial"/>
          <w:i/>
        </w:rPr>
        <w:t>Indian Act</w:t>
      </w:r>
      <w:r w:rsidR="00ED2EFA" w:rsidRPr="00190AE2">
        <w:rPr>
          <w:rFonts w:cs="Arial"/>
        </w:rPr>
        <w:t>. These corrections apply to the third generation of the descendants of the women who lost status, and the descendants of children perceived to be “illegitimate”.</w:t>
      </w:r>
      <w:r w:rsidR="0061283B" w:rsidRPr="00190AE2">
        <w:rPr>
          <w:rFonts w:cs="Arial"/>
        </w:rPr>
        <w:t xml:space="preserve"> </w:t>
      </w:r>
      <w:r w:rsidR="00ED2EFA" w:rsidRPr="00190AE2">
        <w:rPr>
          <w:rFonts w:cs="Arial"/>
        </w:rPr>
        <w:t xml:space="preserve">There is nothing stopping the Government from going further than the </w:t>
      </w:r>
      <w:proofErr w:type="spellStart"/>
      <w:r w:rsidR="00ED2EFA" w:rsidRPr="00190AE2">
        <w:rPr>
          <w:rFonts w:cs="Arial"/>
          <w:i/>
        </w:rPr>
        <w:t>Descheneaux</w:t>
      </w:r>
      <w:proofErr w:type="spellEnd"/>
      <w:r w:rsidR="00ED2EFA" w:rsidRPr="00190AE2">
        <w:rPr>
          <w:rFonts w:cs="Arial"/>
          <w:i/>
        </w:rPr>
        <w:t xml:space="preserve"> </w:t>
      </w:r>
      <w:r w:rsidR="00ED2EFA" w:rsidRPr="00190AE2">
        <w:rPr>
          <w:rFonts w:cs="Arial"/>
        </w:rPr>
        <w:t xml:space="preserve">decision and Bill S-3 to correct other forms of discrimination in the </w:t>
      </w:r>
      <w:r w:rsidR="00ED2EFA" w:rsidRPr="00190AE2">
        <w:rPr>
          <w:rFonts w:cs="Arial"/>
          <w:i/>
        </w:rPr>
        <w:t>Indian Act</w:t>
      </w:r>
      <w:r w:rsidR="00ED2EFA" w:rsidRPr="00190AE2">
        <w:rPr>
          <w:rFonts w:cs="Arial"/>
        </w:rPr>
        <w:t xml:space="preserve"> that ultimately violat</w:t>
      </w:r>
      <w:r w:rsidR="00551BC3">
        <w:rPr>
          <w:rFonts w:cs="Arial"/>
        </w:rPr>
        <w:t>e</w:t>
      </w:r>
      <w:r w:rsidR="00ED2EFA" w:rsidRPr="00190AE2">
        <w:rPr>
          <w:rFonts w:cs="Arial"/>
        </w:rPr>
        <w:t xml:space="preserve"> the </w:t>
      </w:r>
      <w:r w:rsidR="00ED2EFA" w:rsidRPr="00190AE2">
        <w:rPr>
          <w:rFonts w:cs="Arial"/>
          <w:i/>
        </w:rPr>
        <w:t>Charter of Rights and Freedoms</w:t>
      </w:r>
      <w:r w:rsidR="00551BC3">
        <w:rPr>
          <w:rFonts w:cs="Arial"/>
          <w:i/>
        </w:rPr>
        <w:t>,</w:t>
      </w:r>
      <w:r w:rsidR="00ED2EFA" w:rsidRPr="00190AE2">
        <w:rPr>
          <w:rFonts w:cs="Arial"/>
        </w:rPr>
        <w:t xml:space="preserve"> and their responsibility to Indigenous women. As a proclaimed feminist government, this type of discriminatory language is unacceptable and contradicts the values put in place by the Government of Canada. As stated in UNDRIP,</w:t>
      </w:r>
      <w:r w:rsidR="009357E6">
        <w:rPr>
          <w:rStyle w:val="FootnoteReference"/>
          <w:rFonts w:cs="Arial"/>
        </w:rPr>
        <w:footnoteReference w:id="5"/>
      </w:r>
      <w:r w:rsidR="00ED2EFA" w:rsidRPr="00190AE2">
        <w:rPr>
          <w:rFonts w:cs="Arial"/>
        </w:rPr>
        <w:t xml:space="preserve"> Indigenous peoples have the right to determine their own identity and membership while respecting the principle of gender equality.  NWAC recognizes that, in the short-term, legislative amendments are urgently needed in order for women and their descendants to gain status, membership, and have access to essential benefits and services to which they are entitled. </w:t>
      </w:r>
    </w:p>
    <w:p w14:paraId="3B6633E5" w14:textId="77777777" w:rsidR="0061283B" w:rsidRPr="00533B33" w:rsidRDefault="00533B33" w:rsidP="0061283B">
      <w:pPr>
        <w:rPr>
          <w:rFonts w:cs="Arial"/>
          <w:b/>
        </w:rPr>
      </w:pPr>
      <w:r>
        <w:rPr>
          <w:rFonts w:cs="Arial"/>
          <w:b/>
        </w:rPr>
        <w:lastRenderedPageBreak/>
        <w:t xml:space="preserve">VAW </w:t>
      </w:r>
      <w:r w:rsidR="0061283B" w:rsidRPr="00533B33">
        <w:rPr>
          <w:rFonts w:cs="Arial"/>
          <w:b/>
        </w:rPr>
        <w:t>Law Reform Recommendation #</w:t>
      </w:r>
      <w:r w:rsidR="00254302">
        <w:rPr>
          <w:rFonts w:cs="Arial"/>
          <w:b/>
        </w:rPr>
        <w:t>1</w:t>
      </w:r>
      <w:r w:rsidR="0082107A">
        <w:rPr>
          <w:rFonts w:cs="Arial"/>
          <w:b/>
        </w:rPr>
        <w:t>:</w:t>
      </w:r>
    </w:p>
    <w:p w14:paraId="5AE1B780" w14:textId="77777777" w:rsidR="0061283B" w:rsidRPr="00190AE2" w:rsidRDefault="0061283B" w:rsidP="00ED2EFA">
      <w:pPr>
        <w:pStyle w:val="ListParagraph"/>
        <w:rPr>
          <w:rFonts w:cs="Arial"/>
        </w:rPr>
      </w:pPr>
    </w:p>
    <w:p w14:paraId="20498524" w14:textId="77777777" w:rsidR="00ED2EFA" w:rsidRPr="00190AE2" w:rsidRDefault="00533B33" w:rsidP="00533B33">
      <w:pPr>
        <w:spacing w:after="160" w:line="259" w:lineRule="auto"/>
        <w:ind w:left="720"/>
        <w:rPr>
          <w:rFonts w:cs="Arial"/>
          <w:b/>
        </w:rPr>
      </w:pPr>
      <w:r>
        <w:rPr>
          <w:rFonts w:cs="Arial"/>
          <w:b/>
          <w:color w:val="000000"/>
        </w:rPr>
        <w:t>T</w:t>
      </w:r>
      <w:r w:rsidR="00ED2EFA" w:rsidRPr="00190AE2">
        <w:rPr>
          <w:rFonts w:cs="Arial"/>
          <w:b/>
          <w:color w:val="000000"/>
        </w:rPr>
        <w:t xml:space="preserve">hat the Government of Canada remove </w:t>
      </w:r>
      <w:r w:rsidR="00ED2EFA" w:rsidRPr="00190AE2">
        <w:rPr>
          <w:rFonts w:cs="Arial"/>
          <w:b/>
          <w:color w:val="000000"/>
          <w:u w:val="single"/>
        </w:rPr>
        <w:t>ALL</w:t>
      </w:r>
      <w:r w:rsidR="00ED2EFA" w:rsidRPr="00190AE2">
        <w:rPr>
          <w:rFonts w:cs="Arial"/>
          <w:b/>
          <w:color w:val="000000"/>
        </w:rPr>
        <w:t xml:space="preserve"> sex-based discrimination from the </w:t>
      </w:r>
      <w:r w:rsidR="00ED2EFA" w:rsidRPr="00190AE2">
        <w:rPr>
          <w:rFonts w:cs="Arial"/>
          <w:b/>
          <w:i/>
          <w:color w:val="000000"/>
        </w:rPr>
        <w:t>Indian Act</w:t>
      </w:r>
      <w:r w:rsidR="00ED2EFA" w:rsidRPr="00190AE2">
        <w:rPr>
          <w:rFonts w:cs="Arial"/>
          <w:b/>
          <w:color w:val="000000"/>
        </w:rPr>
        <w:t xml:space="preserve">, which continues to </w:t>
      </w:r>
      <w:r w:rsidR="00ED2EFA" w:rsidRPr="00190AE2">
        <w:rPr>
          <w:rFonts w:cs="Arial"/>
          <w:b/>
        </w:rPr>
        <w:t>allow violence against Indigenous women</w:t>
      </w:r>
      <w:r w:rsidR="00ED2EFA" w:rsidRPr="00190AE2">
        <w:rPr>
          <w:rFonts w:cs="Arial"/>
          <w:b/>
          <w:color w:val="000000"/>
        </w:rPr>
        <w:t>.</w:t>
      </w:r>
    </w:p>
    <w:p w14:paraId="3F856F2D" w14:textId="77777777" w:rsidR="0048025F" w:rsidRPr="00190AE2" w:rsidRDefault="0048025F">
      <w:pPr>
        <w:rPr>
          <w:rFonts w:cs="Times New Roman"/>
        </w:rPr>
      </w:pPr>
    </w:p>
    <w:p w14:paraId="7D06D48E" w14:textId="77777777" w:rsidR="00533B33" w:rsidRDefault="00BE2220" w:rsidP="008B525B">
      <w:pPr>
        <w:rPr>
          <w:rFonts w:eastAsia="Times New Roman" w:cs="Times New Roman"/>
          <w:b/>
          <w:bCs/>
          <w:color w:val="000000"/>
          <w:lang w:val="en-CA" w:eastAsia="en-CA"/>
        </w:rPr>
      </w:pPr>
      <w:r>
        <w:rPr>
          <w:rFonts w:eastAsia="Times New Roman" w:cs="Times New Roman"/>
          <w:b/>
          <w:bCs/>
          <w:color w:val="000000"/>
          <w:lang w:val="en-CA" w:eastAsia="en-CA"/>
        </w:rPr>
        <w:t xml:space="preserve">The </w:t>
      </w:r>
      <w:r w:rsidR="000434D7">
        <w:rPr>
          <w:rFonts w:eastAsia="Times New Roman" w:cs="Times New Roman"/>
          <w:b/>
          <w:bCs/>
          <w:color w:val="000000"/>
          <w:lang w:val="en-CA" w:eastAsia="en-CA"/>
        </w:rPr>
        <w:t>C</w:t>
      </w:r>
      <w:r>
        <w:rPr>
          <w:rFonts w:eastAsia="Times New Roman" w:cs="Times New Roman"/>
          <w:b/>
          <w:bCs/>
          <w:color w:val="000000"/>
          <w:lang w:val="en-CA" w:eastAsia="en-CA"/>
        </w:rPr>
        <w:t xml:space="preserve">all for </w:t>
      </w:r>
      <w:r w:rsidR="000434D7">
        <w:rPr>
          <w:rFonts w:eastAsia="Times New Roman" w:cs="Times New Roman"/>
          <w:b/>
          <w:bCs/>
          <w:color w:val="000000"/>
          <w:lang w:val="en-CA" w:eastAsia="en-CA"/>
        </w:rPr>
        <w:t xml:space="preserve">a </w:t>
      </w:r>
      <w:r>
        <w:rPr>
          <w:rFonts w:eastAsia="Times New Roman" w:cs="Times New Roman"/>
          <w:b/>
          <w:bCs/>
          <w:color w:val="000000"/>
          <w:lang w:val="en-CA" w:eastAsia="en-CA"/>
        </w:rPr>
        <w:t>National Action Plan on Violence Against Women and Girls in Canada</w:t>
      </w:r>
    </w:p>
    <w:p w14:paraId="0A15492B" w14:textId="77777777" w:rsidR="00BE2220" w:rsidRDefault="00BE2220" w:rsidP="008B525B">
      <w:pPr>
        <w:rPr>
          <w:rFonts w:eastAsia="Times New Roman" w:cs="Calibri"/>
          <w:color w:val="00000A"/>
          <w:lang w:val="en-CA" w:eastAsia="en-CA"/>
        </w:rPr>
      </w:pPr>
    </w:p>
    <w:p w14:paraId="6DA4BA94" w14:textId="28A26272" w:rsidR="00BE2220" w:rsidRPr="00C33554" w:rsidRDefault="008B525B" w:rsidP="008B525B">
      <w:pPr>
        <w:rPr>
          <w:rFonts w:eastAsia="Times New Roman" w:cs="Calibri"/>
          <w:color w:val="000000"/>
          <w:lang w:val="en-CA" w:eastAsia="en-CA"/>
        </w:rPr>
      </w:pPr>
      <w:r w:rsidRPr="008B525B">
        <w:rPr>
          <w:rFonts w:eastAsia="Times New Roman" w:cs="Calibri"/>
          <w:color w:val="00000A"/>
          <w:lang w:val="en-CA" w:eastAsia="en-CA"/>
        </w:rPr>
        <w:t>Under international law, every country has an obligation to address violence against women.</w:t>
      </w:r>
      <w:r w:rsidRPr="008B525B">
        <w:rPr>
          <w:rFonts w:eastAsia="Times New Roman" w:cs="Calibri"/>
          <w:color w:val="00000A"/>
          <w:lang w:val="en-CA" w:eastAsia="en-CA"/>
        </w:rPr>
        <w:br/>
        <w:t xml:space="preserve">The United Nations called on all countries to have a National Action Plan </w:t>
      </w:r>
      <w:r w:rsidR="000434D7">
        <w:rPr>
          <w:rFonts w:eastAsia="Times New Roman" w:cs="Calibri"/>
          <w:color w:val="00000A"/>
          <w:lang w:val="en-CA" w:eastAsia="en-CA"/>
        </w:rPr>
        <w:t xml:space="preserve">on Violence against women </w:t>
      </w:r>
      <w:r w:rsidRPr="008B525B">
        <w:rPr>
          <w:rFonts w:eastAsia="Times New Roman" w:cs="Calibri"/>
          <w:color w:val="00000A"/>
          <w:lang w:val="en-CA" w:eastAsia="en-CA"/>
        </w:rPr>
        <w:t>(NAP</w:t>
      </w:r>
      <w:r w:rsidR="000434D7">
        <w:rPr>
          <w:rFonts w:eastAsia="Times New Roman" w:cs="Calibri"/>
          <w:color w:val="00000A"/>
          <w:lang w:val="en-CA" w:eastAsia="en-CA"/>
        </w:rPr>
        <w:t xml:space="preserve"> VAW</w:t>
      </w:r>
      <w:r w:rsidRPr="008B525B">
        <w:rPr>
          <w:rFonts w:eastAsia="Times New Roman" w:cs="Calibri"/>
          <w:color w:val="00000A"/>
          <w:lang w:val="en-CA" w:eastAsia="en-CA"/>
        </w:rPr>
        <w:t>) by 2015.</w:t>
      </w:r>
      <w:r w:rsidR="000434D7">
        <w:rPr>
          <w:rFonts w:eastAsia="Times New Roman" w:cs="Calibri"/>
          <w:color w:val="00000A"/>
          <w:lang w:val="en-CA" w:eastAsia="en-CA"/>
        </w:rPr>
        <w:t xml:space="preserve"> </w:t>
      </w:r>
      <w:r w:rsidRPr="008B525B">
        <w:rPr>
          <w:rFonts w:eastAsia="Times New Roman" w:cs="Calibri"/>
          <w:color w:val="00000A"/>
          <w:lang w:val="en-CA" w:eastAsia="en-CA"/>
        </w:rPr>
        <w:t>National Action Plans provide a framework for strengthening the systems that respond to</w:t>
      </w:r>
      <w:r w:rsidR="000434D7">
        <w:rPr>
          <w:rFonts w:eastAsia="Times New Roman" w:cs="Calibri"/>
          <w:color w:val="00000A"/>
          <w:lang w:val="en-CA" w:eastAsia="en-CA"/>
        </w:rPr>
        <w:t xml:space="preserve"> </w:t>
      </w:r>
      <w:r w:rsidRPr="008B525B">
        <w:rPr>
          <w:rFonts w:eastAsia="Times New Roman" w:cs="Calibri"/>
          <w:color w:val="00000A"/>
          <w:lang w:val="en-CA" w:eastAsia="en-CA"/>
        </w:rPr>
        <w:t>violence against women. They establish national standards and call for collaboration between</w:t>
      </w:r>
      <w:r w:rsidR="000434D7">
        <w:rPr>
          <w:rFonts w:eastAsia="Times New Roman" w:cs="Calibri"/>
          <w:color w:val="00000A"/>
          <w:lang w:val="en-CA" w:eastAsia="en-CA"/>
        </w:rPr>
        <w:t xml:space="preserve"> </w:t>
      </w:r>
      <w:r w:rsidRPr="008B525B">
        <w:rPr>
          <w:rFonts w:eastAsia="Times New Roman" w:cs="Calibri"/>
          <w:color w:val="00000A"/>
          <w:lang w:val="en-CA" w:eastAsia="en-CA"/>
        </w:rPr>
        <w:t>all levels of government, civil society, survivors, and service responders. They put women’s</w:t>
      </w:r>
      <w:r w:rsidR="000434D7">
        <w:rPr>
          <w:rFonts w:eastAsia="Times New Roman" w:cs="Calibri"/>
          <w:color w:val="00000A"/>
          <w:lang w:val="en-CA" w:eastAsia="en-CA"/>
        </w:rPr>
        <w:t xml:space="preserve"> </w:t>
      </w:r>
      <w:r w:rsidRPr="008B525B">
        <w:rPr>
          <w:rFonts w:eastAsia="Times New Roman" w:cs="Calibri"/>
          <w:color w:val="00000A"/>
          <w:lang w:val="en-CA" w:eastAsia="en-CA"/>
        </w:rPr>
        <w:t>knowledge, experiences and needs at the centre.</w:t>
      </w:r>
      <w:r w:rsidR="00BE2220">
        <w:rPr>
          <w:rFonts w:eastAsia="Times New Roman" w:cs="Calibri"/>
          <w:color w:val="00000A"/>
          <w:lang w:val="en-CA" w:eastAsia="en-CA"/>
        </w:rPr>
        <w:t xml:space="preserve"> </w:t>
      </w:r>
      <w:r w:rsidRPr="008B525B">
        <w:rPr>
          <w:rFonts w:eastAsia="Times New Roman" w:cs="Calibri"/>
          <w:color w:val="000000"/>
          <w:lang w:val="en-CA" w:eastAsia="en-CA"/>
        </w:rPr>
        <w:t>In February 2015, a Blueprint for Canada’s NAP was released. Developed by 22 civil society</w:t>
      </w:r>
      <w:r w:rsidR="00BE2220">
        <w:rPr>
          <w:rFonts w:eastAsia="Times New Roman" w:cs="Calibri"/>
          <w:color w:val="000000"/>
          <w:lang w:val="en-CA" w:eastAsia="en-CA"/>
        </w:rPr>
        <w:t xml:space="preserve"> </w:t>
      </w:r>
      <w:r w:rsidRPr="008B525B">
        <w:rPr>
          <w:rFonts w:eastAsia="Times New Roman" w:cs="Calibri"/>
          <w:color w:val="000000"/>
          <w:lang w:val="en-CA" w:eastAsia="en-CA"/>
        </w:rPr>
        <w:t>organizations working at either the national or provincial level and endorsed by over 180</w:t>
      </w:r>
      <w:r w:rsidR="00BE2220">
        <w:rPr>
          <w:rFonts w:eastAsia="Times New Roman" w:cs="Calibri"/>
          <w:color w:val="000000"/>
          <w:lang w:val="en-CA" w:eastAsia="en-CA"/>
        </w:rPr>
        <w:t xml:space="preserve"> </w:t>
      </w:r>
      <w:r w:rsidRPr="008B525B">
        <w:rPr>
          <w:rFonts w:eastAsia="Times New Roman" w:cs="Calibri"/>
          <w:color w:val="000000"/>
          <w:lang w:val="en-CA" w:eastAsia="en-CA"/>
        </w:rPr>
        <w:t>organizations, the Blueprint provides a roadmap for Canada’s NAP. The Blueprint covers</w:t>
      </w:r>
      <w:r w:rsidR="00BE2220">
        <w:rPr>
          <w:rFonts w:eastAsia="Times New Roman" w:cs="Calibri"/>
          <w:color w:val="000000"/>
          <w:lang w:val="en-CA" w:eastAsia="en-CA"/>
        </w:rPr>
        <w:t xml:space="preserve"> </w:t>
      </w:r>
      <w:r w:rsidRPr="008B525B">
        <w:rPr>
          <w:rFonts w:eastAsia="Times New Roman" w:cs="Calibri"/>
          <w:color w:val="000000"/>
          <w:lang w:val="en-CA" w:eastAsia="en-CA"/>
        </w:rPr>
        <w:t>prevention measures, service responses, legal and justice responses, and social policy</w:t>
      </w:r>
      <w:r w:rsidR="00BE2220">
        <w:rPr>
          <w:rFonts w:eastAsia="Times New Roman" w:cs="Calibri"/>
          <w:color w:val="000000"/>
          <w:lang w:val="en-CA" w:eastAsia="en-CA"/>
        </w:rPr>
        <w:t xml:space="preserve"> </w:t>
      </w:r>
      <w:r w:rsidRPr="008B525B">
        <w:rPr>
          <w:rFonts w:eastAsia="Times New Roman" w:cs="Calibri"/>
          <w:color w:val="000000"/>
          <w:lang w:val="en-CA" w:eastAsia="en-CA"/>
        </w:rPr>
        <w:t>responses.</w:t>
      </w:r>
      <w:r w:rsidR="00BE2220">
        <w:rPr>
          <w:rFonts w:eastAsia="Times New Roman" w:cs="Calibri"/>
          <w:color w:val="000000"/>
          <w:lang w:val="en-CA" w:eastAsia="en-CA"/>
        </w:rPr>
        <w:t xml:space="preserve"> </w:t>
      </w:r>
      <w:r w:rsidRPr="008B525B">
        <w:rPr>
          <w:rFonts w:eastAsia="Times New Roman" w:cs="Calibri"/>
          <w:color w:val="000000"/>
          <w:lang w:val="en-CA" w:eastAsia="en-CA"/>
        </w:rPr>
        <w:t>Despite the 2015 timeline, Canada still does not have a comprehensive national plan to address</w:t>
      </w:r>
      <w:r w:rsidR="000434D7">
        <w:rPr>
          <w:rFonts w:eastAsia="Times New Roman" w:cs="Calibri"/>
          <w:color w:val="000000"/>
          <w:lang w:val="en-CA" w:eastAsia="en-CA"/>
        </w:rPr>
        <w:t xml:space="preserve"> </w:t>
      </w:r>
      <w:r w:rsidRPr="008B525B">
        <w:rPr>
          <w:rFonts w:eastAsia="Times New Roman" w:cs="Calibri"/>
          <w:color w:val="000000"/>
          <w:lang w:val="en-CA" w:eastAsia="en-CA"/>
        </w:rPr>
        <w:t>violence against women and girls.</w:t>
      </w:r>
      <w:r w:rsidR="00C33554">
        <w:rPr>
          <w:rFonts w:eastAsia="Times New Roman" w:cs="Calibri"/>
          <w:color w:val="000000"/>
          <w:lang w:val="en-CA" w:eastAsia="en-CA"/>
        </w:rPr>
        <w:t xml:space="preserve">  </w:t>
      </w:r>
      <w:r w:rsidRPr="008B525B">
        <w:rPr>
          <w:rFonts w:eastAsia="Times New Roman" w:cs="Calibri"/>
          <w:color w:val="000000"/>
          <w:lang w:val="en-CA" w:eastAsia="en-CA"/>
        </w:rPr>
        <w:t xml:space="preserve">In June 2017, the federal government announced its </w:t>
      </w:r>
      <w:r w:rsidRPr="000434D7">
        <w:rPr>
          <w:rFonts w:eastAsia="Times New Roman" w:cs="Calibri"/>
          <w:lang w:val="en-CA" w:eastAsia="en-CA"/>
        </w:rPr>
        <w:t>Strategy to Address and Prevent Gender</w:t>
      </w:r>
      <w:r w:rsidR="00C33554">
        <w:rPr>
          <w:rFonts w:eastAsia="Times New Roman" w:cs="Calibri"/>
          <w:lang w:val="en-CA" w:eastAsia="en-CA"/>
        </w:rPr>
        <w:t xml:space="preserve"> </w:t>
      </w:r>
      <w:r w:rsidRPr="000434D7">
        <w:rPr>
          <w:rFonts w:eastAsia="Times New Roman" w:cs="Calibri"/>
          <w:lang w:val="en-CA" w:eastAsia="en-CA"/>
        </w:rPr>
        <w:t xml:space="preserve">Based Violence. </w:t>
      </w:r>
      <w:r w:rsidRPr="008B525B">
        <w:rPr>
          <w:rFonts w:eastAsia="Times New Roman" w:cs="Calibri"/>
          <w:color w:val="000000"/>
          <w:lang w:val="en-CA" w:eastAsia="en-CA"/>
        </w:rPr>
        <w:t>Since then, few details have been released. Based on available information, the</w:t>
      </w:r>
      <w:r w:rsidR="00C33554">
        <w:rPr>
          <w:rFonts w:eastAsia="Times New Roman" w:cs="Calibri"/>
          <w:color w:val="000000"/>
          <w:lang w:val="en-CA" w:eastAsia="en-CA"/>
        </w:rPr>
        <w:t xml:space="preserve"> </w:t>
      </w:r>
      <w:r w:rsidRPr="008B525B">
        <w:rPr>
          <w:rFonts w:eastAsia="Times New Roman" w:cs="Calibri"/>
          <w:color w:val="000000"/>
          <w:lang w:val="en-CA" w:eastAsia="en-CA"/>
        </w:rPr>
        <w:t>Strategy</w:t>
      </w:r>
      <w:r w:rsidR="00881108">
        <w:rPr>
          <w:rFonts w:eastAsia="Times New Roman" w:cs="Calibri"/>
          <w:color w:val="000000"/>
          <w:lang w:val="en-CA" w:eastAsia="en-CA"/>
        </w:rPr>
        <w:t>,</w:t>
      </w:r>
      <w:r w:rsidR="00881108" w:rsidRPr="00881108">
        <w:rPr>
          <w:rFonts w:eastAsia="Times New Roman" w:cs="Calibri"/>
          <w:color w:val="000000"/>
          <w:lang w:val="en-CA" w:eastAsia="en-CA"/>
        </w:rPr>
        <w:t xml:space="preserve"> </w:t>
      </w:r>
      <w:r w:rsidR="00881108">
        <w:rPr>
          <w:rFonts w:eastAsia="Times New Roman" w:cs="Calibri"/>
          <w:color w:val="000000"/>
          <w:lang w:val="en-CA" w:eastAsia="en-CA"/>
        </w:rPr>
        <w:t>which is only federal in scope,</w:t>
      </w:r>
      <w:r w:rsidR="00881108" w:rsidRPr="008B525B">
        <w:rPr>
          <w:rFonts w:eastAsia="Times New Roman" w:cs="Calibri"/>
          <w:color w:val="000000"/>
          <w:lang w:val="en-CA" w:eastAsia="en-CA"/>
        </w:rPr>
        <w:t xml:space="preserve"> </w:t>
      </w:r>
      <w:r w:rsidRPr="008B525B">
        <w:rPr>
          <w:rFonts w:eastAsia="Times New Roman" w:cs="Calibri"/>
          <w:color w:val="000000"/>
          <w:lang w:val="en-CA" w:eastAsia="en-CA"/>
        </w:rPr>
        <w:t>appears to be more of a re-organization plan. It is very much project oriented creating</w:t>
      </w:r>
      <w:r w:rsidR="00C33554">
        <w:rPr>
          <w:rFonts w:eastAsia="Times New Roman" w:cs="Calibri"/>
          <w:color w:val="000000"/>
          <w:lang w:val="en-CA" w:eastAsia="en-CA"/>
        </w:rPr>
        <w:t xml:space="preserve"> </w:t>
      </w:r>
      <w:r w:rsidRPr="008B525B">
        <w:rPr>
          <w:rFonts w:eastAsia="Times New Roman" w:cs="Calibri"/>
          <w:color w:val="000000"/>
          <w:lang w:val="en-CA" w:eastAsia="en-CA"/>
        </w:rPr>
        <w:t>few opportunities for systemic change. The Strategy does include much needed new data</w:t>
      </w:r>
      <w:r w:rsidR="00C33554">
        <w:rPr>
          <w:rFonts w:eastAsia="Times New Roman" w:cs="Calibri"/>
          <w:color w:val="000000"/>
          <w:lang w:val="en-CA" w:eastAsia="en-CA"/>
        </w:rPr>
        <w:t xml:space="preserve"> </w:t>
      </w:r>
      <w:r w:rsidRPr="008B525B">
        <w:rPr>
          <w:rFonts w:eastAsia="Times New Roman" w:cs="Calibri"/>
          <w:color w:val="000000"/>
          <w:lang w:val="en-CA" w:eastAsia="en-CA"/>
        </w:rPr>
        <w:t>collection on GBV and its impacts. One hundred million dollars over five years was allocated to</w:t>
      </w:r>
      <w:r w:rsidR="00C33554">
        <w:rPr>
          <w:rFonts w:eastAsia="Times New Roman" w:cs="Calibri"/>
          <w:color w:val="000000"/>
          <w:lang w:val="en-CA" w:eastAsia="en-CA"/>
        </w:rPr>
        <w:t xml:space="preserve"> </w:t>
      </w:r>
      <w:r w:rsidRPr="008B525B">
        <w:rPr>
          <w:rFonts w:eastAsia="Times New Roman" w:cs="Calibri"/>
          <w:color w:val="000000"/>
          <w:lang w:val="en-CA" w:eastAsia="en-CA"/>
        </w:rPr>
        <w:t>the federal strategy, the equivalent of $5.80 per woman and girl child over five years. Clearly</w:t>
      </w:r>
      <w:r w:rsidR="00C33554">
        <w:rPr>
          <w:rFonts w:eastAsia="Times New Roman" w:cs="Calibri"/>
          <w:color w:val="000000"/>
          <w:lang w:val="en-CA" w:eastAsia="en-CA"/>
        </w:rPr>
        <w:t xml:space="preserve"> </w:t>
      </w:r>
      <w:r w:rsidRPr="008B525B">
        <w:rPr>
          <w:rFonts w:eastAsia="Times New Roman" w:cs="Calibri"/>
          <w:color w:val="000000"/>
          <w:lang w:val="en-CA" w:eastAsia="en-CA"/>
        </w:rPr>
        <w:t>this is not sufficient given the enormity of the issues.</w:t>
      </w:r>
      <w:r w:rsidR="000434D7">
        <w:rPr>
          <w:rFonts w:eastAsia="Times New Roman" w:cs="Calibri"/>
          <w:color w:val="000000"/>
          <w:lang w:val="en-CA" w:eastAsia="en-CA"/>
        </w:rPr>
        <w:t xml:space="preserve"> </w:t>
      </w:r>
      <w:r w:rsidRPr="008B525B">
        <w:rPr>
          <w:rFonts w:eastAsia="Times New Roman" w:cs="Calibri"/>
          <w:color w:val="333333"/>
          <w:lang w:val="en-CA" w:eastAsia="en-CA"/>
        </w:rPr>
        <w:t>The Strategy is based on the following three pillars:</w:t>
      </w:r>
    </w:p>
    <w:p w14:paraId="6396B64D" w14:textId="77777777" w:rsidR="000434D7" w:rsidRDefault="000434D7" w:rsidP="008B525B">
      <w:pPr>
        <w:rPr>
          <w:rFonts w:eastAsia="Times New Roman" w:cs="Calibri"/>
          <w:color w:val="333333"/>
          <w:lang w:val="en-CA" w:eastAsia="en-CA"/>
        </w:rPr>
      </w:pPr>
    </w:p>
    <w:p w14:paraId="27DC8F9A" w14:textId="77777777" w:rsidR="00BE2220" w:rsidRPr="00BE2220" w:rsidRDefault="008B525B" w:rsidP="00BE2220">
      <w:pPr>
        <w:pStyle w:val="ListParagraph"/>
        <w:numPr>
          <w:ilvl w:val="0"/>
          <w:numId w:val="27"/>
        </w:numPr>
        <w:rPr>
          <w:rFonts w:eastAsia="Times New Roman" w:cs="Times New Roman"/>
          <w:lang w:val="en-CA" w:eastAsia="en-CA"/>
        </w:rPr>
      </w:pPr>
      <w:r w:rsidRPr="00BE2220">
        <w:rPr>
          <w:rFonts w:eastAsia="Times New Roman" w:cs="Calibri"/>
          <w:color w:val="333333"/>
          <w:lang w:val="en-CA" w:eastAsia="en-CA"/>
        </w:rPr>
        <w:t>Prevention;</w:t>
      </w:r>
    </w:p>
    <w:p w14:paraId="537DC270" w14:textId="77777777" w:rsidR="00BE2220" w:rsidRPr="00BE2220" w:rsidRDefault="008B525B" w:rsidP="00BE2220">
      <w:pPr>
        <w:pStyle w:val="ListParagraph"/>
        <w:numPr>
          <w:ilvl w:val="0"/>
          <w:numId w:val="27"/>
        </w:numPr>
        <w:rPr>
          <w:rFonts w:eastAsia="Times New Roman" w:cs="Times New Roman"/>
          <w:lang w:val="en-CA" w:eastAsia="en-CA"/>
        </w:rPr>
      </w:pPr>
      <w:r w:rsidRPr="00BE2220">
        <w:rPr>
          <w:rFonts w:eastAsia="Times New Roman" w:cs="Calibri"/>
          <w:color w:val="333333"/>
          <w:lang w:val="en-CA" w:eastAsia="en-CA"/>
        </w:rPr>
        <w:t>Support for survivors and their families; an</w:t>
      </w:r>
      <w:r w:rsidR="00BE2220">
        <w:rPr>
          <w:rFonts w:eastAsia="Times New Roman" w:cs="Calibri"/>
          <w:color w:val="333333"/>
          <w:lang w:val="en-CA" w:eastAsia="en-CA"/>
        </w:rPr>
        <w:t>d</w:t>
      </w:r>
    </w:p>
    <w:p w14:paraId="1A992512" w14:textId="77777777" w:rsidR="00BE2220" w:rsidRPr="00BE2220" w:rsidRDefault="008B525B" w:rsidP="00BE2220">
      <w:pPr>
        <w:pStyle w:val="ListParagraph"/>
        <w:numPr>
          <w:ilvl w:val="0"/>
          <w:numId w:val="27"/>
        </w:numPr>
        <w:rPr>
          <w:rFonts w:eastAsia="Times New Roman" w:cs="Times New Roman"/>
          <w:lang w:val="en-CA" w:eastAsia="en-CA"/>
        </w:rPr>
      </w:pPr>
      <w:r w:rsidRPr="00BE2220">
        <w:rPr>
          <w:rFonts w:eastAsia="Times New Roman" w:cs="Calibri"/>
          <w:color w:val="333333"/>
          <w:lang w:val="en-CA" w:eastAsia="en-CA"/>
        </w:rPr>
        <w:t>Promotion of responsive legal and justice systems.</w:t>
      </w:r>
      <w:r w:rsidRPr="00BE2220">
        <w:rPr>
          <w:rFonts w:eastAsia="Times New Roman" w:cs="Calibri"/>
          <w:color w:val="333333"/>
          <w:lang w:val="en-CA" w:eastAsia="en-CA"/>
        </w:rPr>
        <w:br/>
      </w:r>
    </w:p>
    <w:p w14:paraId="4E23F5F7" w14:textId="77777777" w:rsidR="00551BC3" w:rsidRDefault="008B525B" w:rsidP="00BE2220">
      <w:pPr>
        <w:rPr>
          <w:rFonts w:eastAsia="Times New Roman" w:cs="Calibri"/>
          <w:color w:val="000000"/>
          <w:lang w:val="en-CA" w:eastAsia="en-CA"/>
        </w:rPr>
      </w:pPr>
      <w:r w:rsidRPr="00BE2220">
        <w:rPr>
          <w:rFonts w:eastAsia="Times New Roman" w:cs="Calibri"/>
          <w:color w:val="000000"/>
          <w:lang w:val="en-CA" w:eastAsia="en-CA"/>
        </w:rPr>
        <w:t>The allocation of funds, however, does not seem to reflect these priorities</w:t>
      </w:r>
      <w:r w:rsidR="00BE2220">
        <w:rPr>
          <w:rFonts w:eastAsia="Times New Roman" w:cs="Calibri"/>
          <w:color w:val="000000"/>
          <w:lang w:val="en-CA" w:eastAsia="en-CA"/>
        </w:rPr>
        <w:t xml:space="preserve">.  </w:t>
      </w:r>
      <w:r w:rsidRPr="00BE2220">
        <w:rPr>
          <w:rFonts w:eastAsia="Times New Roman" w:cs="Calibri"/>
          <w:color w:val="000000"/>
          <w:lang w:val="en-CA" w:eastAsia="en-CA"/>
        </w:rPr>
        <w:t>The current Federal GBV Strategy needs to be attached to policy change and legislation and</w:t>
      </w:r>
      <w:r w:rsidR="00BE2220">
        <w:rPr>
          <w:rFonts w:eastAsia="Times New Roman" w:cs="Calibri"/>
          <w:color w:val="000000"/>
          <w:lang w:val="en-CA" w:eastAsia="en-CA"/>
        </w:rPr>
        <w:t xml:space="preserve"> </w:t>
      </w:r>
      <w:r w:rsidRPr="00BE2220">
        <w:rPr>
          <w:rFonts w:eastAsia="Times New Roman" w:cs="Calibri"/>
          <w:color w:val="000000"/>
          <w:lang w:val="en-CA" w:eastAsia="en-CA"/>
        </w:rPr>
        <w:t>needs to be seen as an initial step towards a N</w:t>
      </w:r>
      <w:r w:rsidR="000434D7">
        <w:rPr>
          <w:rFonts w:eastAsia="Times New Roman" w:cs="Calibri"/>
          <w:color w:val="000000"/>
          <w:lang w:val="en-CA" w:eastAsia="en-CA"/>
        </w:rPr>
        <w:t>AP VAW</w:t>
      </w:r>
      <w:r w:rsidR="006F392A">
        <w:rPr>
          <w:rFonts w:eastAsia="Times New Roman" w:cs="Calibri"/>
          <w:color w:val="000000"/>
          <w:lang w:val="en-CA" w:eastAsia="en-CA"/>
        </w:rPr>
        <w:t xml:space="preserve">.  </w:t>
      </w:r>
      <w:r w:rsidRPr="00BE2220">
        <w:rPr>
          <w:rFonts w:eastAsia="Times New Roman" w:cs="Calibri"/>
          <w:color w:val="000000"/>
          <w:lang w:val="en-CA" w:eastAsia="en-CA"/>
        </w:rPr>
        <w:t>Canada needs a coherent, coordinated, well-resourced NAP on Violence Against Women to</w:t>
      </w:r>
      <w:r w:rsidR="006F392A">
        <w:rPr>
          <w:rFonts w:eastAsia="Times New Roman" w:cs="Calibri"/>
          <w:color w:val="000000"/>
          <w:lang w:val="en-CA" w:eastAsia="en-CA"/>
        </w:rPr>
        <w:t xml:space="preserve"> </w:t>
      </w:r>
      <w:r w:rsidRPr="00BE2220">
        <w:rPr>
          <w:rFonts w:eastAsia="Times New Roman" w:cs="Calibri"/>
          <w:color w:val="000000"/>
          <w:lang w:val="en-CA" w:eastAsia="en-CA"/>
        </w:rPr>
        <w:t>ensure that women in all areas of the country have access to comparable levels of services and</w:t>
      </w:r>
      <w:r w:rsidR="006F392A">
        <w:rPr>
          <w:rFonts w:eastAsia="Times New Roman" w:cs="Calibri"/>
          <w:color w:val="000000"/>
          <w:lang w:val="en-CA" w:eastAsia="en-CA"/>
        </w:rPr>
        <w:t xml:space="preserve"> </w:t>
      </w:r>
      <w:r w:rsidRPr="00BE2220">
        <w:rPr>
          <w:rFonts w:eastAsia="Times New Roman" w:cs="Calibri"/>
          <w:color w:val="000000"/>
          <w:lang w:val="en-CA" w:eastAsia="en-CA"/>
        </w:rPr>
        <w:t>protection. This is not the case today.</w:t>
      </w:r>
      <w:r w:rsidR="000434D7">
        <w:rPr>
          <w:rFonts w:eastAsia="Times New Roman" w:cs="Calibri"/>
          <w:color w:val="000000"/>
          <w:lang w:val="en-CA" w:eastAsia="en-CA"/>
        </w:rPr>
        <w:t xml:space="preserve"> </w:t>
      </w:r>
    </w:p>
    <w:p w14:paraId="16637F1B" w14:textId="77777777" w:rsidR="00551BC3" w:rsidRDefault="00551BC3" w:rsidP="00BE2220">
      <w:pPr>
        <w:rPr>
          <w:rFonts w:eastAsia="Times New Roman" w:cs="Calibri"/>
          <w:color w:val="000000"/>
          <w:lang w:val="en-CA" w:eastAsia="en-CA"/>
        </w:rPr>
      </w:pPr>
    </w:p>
    <w:p w14:paraId="002FE9FA" w14:textId="78395253" w:rsidR="008B525B" w:rsidRDefault="000434D7" w:rsidP="00BE2220">
      <w:pPr>
        <w:rPr>
          <w:rFonts w:eastAsia="Times New Roman" w:cs="Calibri"/>
          <w:color w:val="000000"/>
          <w:lang w:val="en-CA" w:eastAsia="en-CA"/>
        </w:rPr>
      </w:pPr>
      <w:r>
        <w:rPr>
          <w:rFonts w:eastAsia="Times New Roman" w:cs="Calibri"/>
          <w:color w:val="000000"/>
          <w:lang w:val="en-CA" w:eastAsia="en-CA"/>
        </w:rPr>
        <w:t xml:space="preserve"> </w:t>
      </w:r>
      <w:r w:rsidR="008B525B" w:rsidRPr="00BE2220">
        <w:rPr>
          <w:rFonts w:eastAsia="Times New Roman" w:cs="Calibri"/>
          <w:color w:val="000000"/>
          <w:lang w:val="en-CA" w:eastAsia="en-CA"/>
        </w:rPr>
        <w:t xml:space="preserve">A NAP </w:t>
      </w:r>
      <w:r w:rsidR="005708D2">
        <w:rPr>
          <w:rFonts w:eastAsia="Times New Roman" w:cs="Calibri"/>
          <w:color w:val="000000"/>
          <w:lang w:val="en-CA" w:eastAsia="en-CA"/>
        </w:rPr>
        <w:t xml:space="preserve">VAW </w:t>
      </w:r>
      <w:r w:rsidR="008B525B" w:rsidRPr="00BE2220">
        <w:rPr>
          <w:rFonts w:eastAsia="Times New Roman" w:cs="Calibri"/>
          <w:color w:val="000000"/>
          <w:lang w:val="en-CA" w:eastAsia="en-CA"/>
        </w:rPr>
        <w:t>is needed to ensure:</w:t>
      </w:r>
    </w:p>
    <w:p w14:paraId="492FC568" w14:textId="77777777" w:rsidR="00BE2220" w:rsidRDefault="00BE2220" w:rsidP="00BE2220">
      <w:pPr>
        <w:rPr>
          <w:rFonts w:eastAsia="Times New Roman" w:cs="Times New Roman"/>
          <w:lang w:val="en-CA" w:eastAsia="en-CA"/>
        </w:rPr>
      </w:pPr>
    </w:p>
    <w:p w14:paraId="48B4F95A" w14:textId="77777777" w:rsidR="00BE2220" w:rsidRDefault="00BE2220" w:rsidP="00BE2220">
      <w:pPr>
        <w:pStyle w:val="ListParagraph"/>
        <w:numPr>
          <w:ilvl w:val="0"/>
          <w:numId w:val="28"/>
        </w:numPr>
        <w:rPr>
          <w:rFonts w:eastAsia="Times New Roman" w:cs="Times New Roman"/>
          <w:lang w:val="en-CA" w:eastAsia="en-CA"/>
        </w:rPr>
      </w:pPr>
      <w:r>
        <w:rPr>
          <w:rFonts w:eastAsia="Times New Roman" w:cs="Times New Roman"/>
          <w:lang w:val="en-CA" w:eastAsia="en-CA"/>
        </w:rPr>
        <w:t>Consistency across and within jurisdictions in policies and legislation that address VAW</w:t>
      </w:r>
    </w:p>
    <w:p w14:paraId="61CEE05D" w14:textId="77777777" w:rsidR="00BE2220" w:rsidRDefault="00BE2220" w:rsidP="00BE2220">
      <w:pPr>
        <w:pStyle w:val="ListParagraph"/>
        <w:numPr>
          <w:ilvl w:val="0"/>
          <w:numId w:val="28"/>
        </w:numPr>
        <w:rPr>
          <w:rFonts w:eastAsia="Times New Roman" w:cs="Times New Roman"/>
          <w:lang w:val="en-CA" w:eastAsia="en-CA"/>
        </w:rPr>
      </w:pPr>
      <w:r>
        <w:rPr>
          <w:rFonts w:eastAsia="Times New Roman" w:cs="Times New Roman"/>
          <w:lang w:val="en-CA" w:eastAsia="en-CA"/>
        </w:rPr>
        <w:t>Shared understanding of the root causes of VAW</w:t>
      </w:r>
    </w:p>
    <w:p w14:paraId="5882347D" w14:textId="77777777" w:rsidR="00BE2220" w:rsidRDefault="00BE2220" w:rsidP="00BE2220">
      <w:pPr>
        <w:pStyle w:val="ListParagraph"/>
        <w:numPr>
          <w:ilvl w:val="0"/>
          <w:numId w:val="28"/>
        </w:numPr>
        <w:rPr>
          <w:rFonts w:eastAsia="Times New Roman" w:cs="Times New Roman"/>
          <w:lang w:val="en-CA" w:eastAsia="en-CA"/>
        </w:rPr>
      </w:pPr>
      <w:r>
        <w:rPr>
          <w:rFonts w:eastAsia="Times New Roman" w:cs="Times New Roman"/>
          <w:lang w:val="en-CA" w:eastAsia="en-CA"/>
        </w:rPr>
        <w:t>Consistent approaches to prevention and responses to VAW</w:t>
      </w:r>
    </w:p>
    <w:p w14:paraId="16247E0C" w14:textId="77777777" w:rsidR="00BE2220" w:rsidRDefault="00BE2220" w:rsidP="00BE2220">
      <w:pPr>
        <w:pStyle w:val="ListParagraph"/>
        <w:numPr>
          <w:ilvl w:val="0"/>
          <w:numId w:val="28"/>
        </w:numPr>
        <w:rPr>
          <w:rFonts w:eastAsia="Times New Roman" w:cs="Times New Roman"/>
          <w:lang w:val="en-CA" w:eastAsia="en-CA"/>
        </w:rPr>
      </w:pPr>
      <w:r>
        <w:rPr>
          <w:rFonts w:eastAsia="Times New Roman" w:cs="Times New Roman"/>
          <w:lang w:val="en-CA" w:eastAsia="en-CA"/>
        </w:rPr>
        <w:t>Collective pursuit of the most appropriate solutions</w:t>
      </w:r>
    </w:p>
    <w:p w14:paraId="110455A6" w14:textId="77777777" w:rsidR="00BE2220" w:rsidRDefault="00BE2220" w:rsidP="00BE2220">
      <w:pPr>
        <w:pStyle w:val="ListParagraph"/>
        <w:numPr>
          <w:ilvl w:val="0"/>
          <w:numId w:val="28"/>
        </w:numPr>
        <w:rPr>
          <w:rFonts w:eastAsia="Times New Roman" w:cs="Times New Roman"/>
          <w:lang w:val="en-CA" w:eastAsia="en-CA"/>
        </w:rPr>
      </w:pPr>
      <w:r>
        <w:rPr>
          <w:rFonts w:eastAsia="Times New Roman" w:cs="Times New Roman"/>
          <w:lang w:val="en-CA" w:eastAsia="en-CA"/>
        </w:rPr>
        <w:lastRenderedPageBreak/>
        <w:t>High-level commitment to a multi-pronged, coordinated, pan-Canadian approach;</w:t>
      </w:r>
    </w:p>
    <w:p w14:paraId="6E567920" w14:textId="77777777" w:rsidR="00BE2220" w:rsidRDefault="00BE2220" w:rsidP="00BE2220">
      <w:pPr>
        <w:pStyle w:val="ListParagraph"/>
        <w:numPr>
          <w:ilvl w:val="0"/>
          <w:numId w:val="28"/>
        </w:numPr>
        <w:rPr>
          <w:rFonts w:eastAsia="Times New Roman" w:cs="Times New Roman"/>
          <w:lang w:val="en-CA" w:eastAsia="en-CA"/>
        </w:rPr>
      </w:pPr>
      <w:r>
        <w:rPr>
          <w:rFonts w:eastAsia="Times New Roman" w:cs="Times New Roman"/>
          <w:lang w:val="en-CA" w:eastAsia="en-CA"/>
        </w:rPr>
        <w:t>Coordinated, clear and effective services and systems for survivors of VAW that respect and respond to diversity; and</w:t>
      </w:r>
    </w:p>
    <w:p w14:paraId="0671A6D5" w14:textId="77777777" w:rsidR="00BE2220" w:rsidRDefault="00BE2220" w:rsidP="00BE2220">
      <w:pPr>
        <w:pStyle w:val="ListParagraph"/>
        <w:numPr>
          <w:ilvl w:val="0"/>
          <w:numId w:val="28"/>
        </w:numPr>
        <w:rPr>
          <w:rFonts w:eastAsia="Times New Roman" w:cs="Times New Roman"/>
          <w:lang w:val="en-CA" w:eastAsia="en-CA"/>
        </w:rPr>
      </w:pPr>
      <w:r>
        <w:rPr>
          <w:rFonts w:eastAsia="Times New Roman" w:cs="Times New Roman"/>
          <w:lang w:val="en-CA" w:eastAsia="en-CA"/>
        </w:rPr>
        <w:t>National standards with equality of access for women.</w:t>
      </w:r>
    </w:p>
    <w:p w14:paraId="5119E390" w14:textId="77777777" w:rsidR="00BE2220" w:rsidRPr="00BE2220" w:rsidRDefault="00BE2220" w:rsidP="00BE2220">
      <w:pPr>
        <w:pStyle w:val="ListParagraph"/>
        <w:rPr>
          <w:rFonts w:eastAsia="Times New Roman" w:cs="Times New Roman"/>
          <w:lang w:val="en-CA" w:eastAsia="en-CA"/>
        </w:rPr>
      </w:pPr>
    </w:p>
    <w:p w14:paraId="693BEF44" w14:textId="0C8FD87A" w:rsidR="00BE2220" w:rsidRDefault="008B525B" w:rsidP="008B525B">
      <w:pPr>
        <w:rPr>
          <w:rFonts w:eastAsia="Times New Roman" w:cs="Calibri"/>
          <w:color w:val="000000"/>
          <w:lang w:val="en-CA" w:eastAsia="en-CA"/>
        </w:rPr>
      </w:pPr>
      <w:r w:rsidRPr="008B525B">
        <w:rPr>
          <w:rFonts w:eastAsia="Times New Roman" w:cs="Calibri"/>
          <w:color w:val="000000"/>
          <w:lang w:val="en-CA" w:eastAsia="en-CA"/>
        </w:rPr>
        <w:t>As a starting point, there are several areas of federal jurisdiction where the federal government</w:t>
      </w:r>
      <w:r w:rsidRPr="008B525B">
        <w:rPr>
          <w:rFonts w:eastAsia="Times New Roman" w:cs="Calibri"/>
          <w:color w:val="000000"/>
          <w:lang w:val="en-CA" w:eastAsia="en-CA"/>
        </w:rPr>
        <w:br/>
        <w:t>could take a leadership role.</w:t>
      </w:r>
      <w:r w:rsidR="00BE2220">
        <w:rPr>
          <w:rFonts w:eastAsia="Times New Roman" w:cs="Calibri"/>
          <w:color w:val="000000"/>
          <w:lang w:val="en-CA" w:eastAsia="en-CA"/>
        </w:rPr>
        <w:t xml:space="preserve"> </w:t>
      </w:r>
      <w:r w:rsidRPr="008B525B">
        <w:rPr>
          <w:rFonts w:eastAsia="Times New Roman" w:cs="Calibri"/>
          <w:color w:val="000000"/>
          <w:lang w:val="en-CA" w:eastAsia="en-CA"/>
        </w:rPr>
        <w:t xml:space="preserve">The </w:t>
      </w:r>
      <w:r w:rsidR="00551BC3">
        <w:rPr>
          <w:rFonts w:eastAsia="Times New Roman" w:cs="Calibri"/>
          <w:color w:val="000000"/>
          <w:lang w:val="en-CA" w:eastAsia="en-CA"/>
        </w:rPr>
        <w:t>f</w:t>
      </w:r>
      <w:r w:rsidRPr="008B525B">
        <w:rPr>
          <w:rFonts w:eastAsia="Times New Roman" w:cs="Calibri"/>
          <w:color w:val="000000"/>
          <w:lang w:val="en-CA" w:eastAsia="en-CA"/>
        </w:rPr>
        <w:t xml:space="preserve">ederal </w:t>
      </w:r>
      <w:r w:rsidR="00551BC3">
        <w:rPr>
          <w:rFonts w:eastAsia="Times New Roman" w:cs="Calibri"/>
          <w:color w:val="000000"/>
          <w:lang w:val="en-CA" w:eastAsia="en-CA"/>
        </w:rPr>
        <w:t>g</w:t>
      </w:r>
      <w:r w:rsidRPr="008B525B">
        <w:rPr>
          <w:rFonts w:eastAsia="Times New Roman" w:cs="Calibri"/>
          <w:color w:val="000000"/>
          <w:lang w:val="en-CA" w:eastAsia="en-CA"/>
        </w:rPr>
        <w:t>overnment should require all provinces to provide civil legal aid in all cases where</w:t>
      </w:r>
      <w:r w:rsidR="00BE2220">
        <w:rPr>
          <w:rFonts w:eastAsia="Times New Roman" w:cs="Calibri"/>
          <w:color w:val="000000"/>
          <w:lang w:val="en-CA" w:eastAsia="en-CA"/>
        </w:rPr>
        <w:t xml:space="preserve"> </w:t>
      </w:r>
      <w:r w:rsidRPr="008B525B">
        <w:rPr>
          <w:rFonts w:eastAsia="Times New Roman" w:cs="Calibri"/>
          <w:color w:val="000000"/>
          <w:lang w:val="en-CA" w:eastAsia="en-CA"/>
        </w:rPr>
        <w:t>there is family violence and a contested custody or access application, and the person who has</w:t>
      </w:r>
      <w:r w:rsidR="00BE2220">
        <w:rPr>
          <w:rFonts w:eastAsia="Times New Roman" w:cs="Calibri"/>
          <w:color w:val="000000"/>
          <w:lang w:val="en-CA" w:eastAsia="en-CA"/>
        </w:rPr>
        <w:t xml:space="preserve"> </w:t>
      </w:r>
      <w:r w:rsidRPr="008B525B">
        <w:rPr>
          <w:rFonts w:eastAsia="Times New Roman" w:cs="Calibri"/>
          <w:color w:val="000000"/>
          <w:lang w:val="en-CA" w:eastAsia="en-CA"/>
        </w:rPr>
        <w:t>been abused cannot otherwise afford a lawyer. Canadian statutes should provide that an</w:t>
      </w:r>
      <w:r w:rsidR="00BE2220">
        <w:rPr>
          <w:rFonts w:eastAsia="Times New Roman" w:cs="Calibri"/>
          <w:color w:val="000000"/>
          <w:lang w:val="en-CA" w:eastAsia="en-CA"/>
        </w:rPr>
        <w:t xml:space="preserve"> </w:t>
      </w:r>
      <w:r w:rsidRPr="008B525B">
        <w:rPr>
          <w:rFonts w:eastAsia="Times New Roman" w:cs="Calibri"/>
          <w:color w:val="000000"/>
          <w:lang w:val="en-CA" w:eastAsia="en-CA"/>
        </w:rPr>
        <w:t>abused parent is able to request non-disclosure of her address if she is concerned about her</w:t>
      </w:r>
      <w:r w:rsidR="00BE2220">
        <w:rPr>
          <w:rFonts w:eastAsia="Times New Roman" w:cs="Calibri"/>
          <w:color w:val="000000"/>
          <w:lang w:val="en-CA" w:eastAsia="en-CA"/>
        </w:rPr>
        <w:t xml:space="preserve"> </w:t>
      </w:r>
      <w:r w:rsidRPr="008B525B">
        <w:rPr>
          <w:rFonts w:eastAsia="Times New Roman" w:cs="Calibri"/>
          <w:color w:val="000000"/>
          <w:lang w:val="en-CA" w:eastAsia="en-CA"/>
        </w:rPr>
        <w:t>safety or the safety of her children.</w:t>
      </w:r>
      <w:r w:rsidR="00BE2220">
        <w:rPr>
          <w:rFonts w:eastAsia="Times New Roman" w:cs="Calibri"/>
          <w:color w:val="000000"/>
          <w:lang w:val="en-CA" w:eastAsia="en-CA"/>
        </w:rPr>
        <w:t xml:space="preserve"> </w:t>
      </w:r>
      <w:r w:rsidRPr="008B525B">
        <w:rPr>
          <w:rFonts w:eastAsia="Times New Roman" w:cs="Calibri"/>
          <w:color w:val="000000"/>
          <w:lang w:val="en-CA" w:eastAsia="en-CA"/>
        </w:rPr>
        <w:t xml:space="preserve">Survivors need to have freedom of movement across provincial borders. </w:t>
      </w:r>
      <w:r w:rsidR="00BE2220">
        <w:rPr>
          <w:rFonts w:eastAsia="Times New Roman" w:cs="Calibri"/>
          <w:color w:val="000000"/>
          <w:lang w:val="en-CA" w:eastAsia="en-CA"/>
        </w:rPr>
        <w:t xml:space="preserve"> </w:t>
      </w:r>
      <w:r w:rsidRPr="008B525B">
        <w:rPr>
          <w:rFonts w:eastAsia="Times New Roman" w:cs="Calibri"/>
          <w:color w:val="000000"/>
          <w:lang w:val="en-CA" w:eastAsia="en-CA"/>
        </w:rPr>
        <w:t>Moving to a different</w:t>
      </w:r>
      <w:r w:rsidR="00BE2220">
        <w:rPr>
          <w:rFonts w:eastAsia="Times New Roman" w:cs="Calibri"/>
          <w:color w:val="000000"/>
          <w:lang w:val="en-CA" w:eastAsia="en-CA"/>
        </w:rPr>
        <w:t xml:space="preserve"> </w:t>
      </w:r>
      <w:r w:rsidRPr="008B525B">
        <w:rPr>
          <w:rFonts w:eastAsia="Times New Roman" w:cs="Calibri"/>
          <w:color w:val="000000"/>
          <w:lang w:val="en-CA" w:eastAsia="en-CA"/>
        </w:rPr>
        <w:t>province or territory presents a number of barriers, including the lack of enforcement of</w:t>
      </w:r>
      <w:r w:rsidR="00BE2220">
        <w:rPr>
          <w:rFonts w:eastAsia="Times New Roman" w:cs="Calibri"/>
          <w:color w:val="000000"/>
          <w:lang w:val="en-CA" w:eastAsia="en-CA"/>
        </w:rPr>
        <w:t xml:space="preserve"> </w:t>
      </w:r>
      <w:r w:rsidRPr="008B525B">
        <w:rPr>
          <w:rFonts w:eastAsia="Times New Roman" w:cs="Calibri"/>
          <w:color w:val="000000"/>
          <w:lang w:val="en-CA" w:eastAsia="en-CA"/>
        </w:rPr>
        <w:t>protection orders across provincial borders.</w:t>
      </w:r>
    </w:p>
    <w:p w14:paraId="3B56E962" w14:textId="77777777" w:rsidR="008B525B" w:rsidRDefault="008B525B" w:rsidP="008B525B">
      <w:pPr>
        <w:rPr>
          <w:rFonts w:eastAsia="Times New Roman" w:cs="Times New Roman"/>
          <w:lang w:val="en-CA" w:eastAsia="en-CA"/>
        </w:rPr>
      </w:pPr>
      <w:r w:rsidRPr="008B525B">
        <w:rPr>
          <w:rFonts w:eastAsia="Times New Roman" w:cs="Calibri"/>
          <w:color w:val="000000"/>
          <w:lang w:val="en-CA" w:eastAsia="en-CA"/>
        </w:rPr>
        <w:br/>
      </w:r>
      <w:r w:rsidRPr="000434D7">
        <w:rPr>
          <w:rFonts w:eastAsia="Times New Roman" w:cs="Times New Roman"/>
          <w:bCs/>
          <w:color w:val="000000"/>
          <w:lang w:val="en-CA" w:eastAsia="en-CA"/>
        </w:rPr>
        <w:t>Developing and implementing a NAP will require leadership on the part of the federal</w:t>
      </w:r>
      <w:r w:rsidRPr="000434D7">
        <w:rPr>
          <w:rFonts w:eastAsia="Times New Roman" w:cs="Times New Roman"/>
          <w:bCs/>
          <w:color w:val="000000"/>
          <w:lang w:val="en-CA" w:eastAsia="en-CA"/>
        </w:rPr>
        <w:br/>
        <w:t>government.</w:t>
      </w:r>
      <w:r w:rsidR="000434D7">
        <w:rPr>
          <w:rFonts w:eastAsia="Times New Roman" w:cs="Times New Roman"/>
          <w:bCs/>
          <w:color w:val="000000"/>
          <w:lang w:val="en-CA" w:eastAsia="en-CA"/>
        </w:rPr>
        <w:t xml:space="preserve">  </w:t>
      </w:r>
      <w:r w:rsidR="00BE2220">
        <w:rPr>
          <w:rFonts w:eastAsia="Times New Roman" w:cs="Times New Roman"/>
          <w:lang w:val="en-CA" w:eastAsia="en-CA"/>
        </w:rPr>
        <w:t>In this context leadership means:</w:t>
      </w:r>
    </w:p>
    <w:p w14:paraId="10441ABD" w14:textId="77777777" w:rsidR="004F7410" w:rsidRDefault="004F7410" w:rsidP="008B525B">
      <w:pPr>
        <w:rPr>
          <w:rFonts w:eastAsia="Times New Roman" w:cs="Times New Roman"/>
          <w:lang w:val="en-CA" w:eastAsia="en-CA"/>
        </w:rPr>
      </w:pPr>
    </w:p>
    <w:p w14:paraId="1FC278BD" w14:textId="77777777" w:rsidR="00BE2220" w:rsidRPr="00BE2220" w:rsidRDefault="00BE2220" w:rsidP="00BE2220">
      <w:pPr>
        <w:pStyle w:val="ListParagraph"/>
        <w:numPr>
          <w:ilvl w:val="0"/>
          <w:numId w:val="29"/>
        </w:numPr>
        <w:rPr>
          <w:rFonts w:eastAsia="Times New Roman" w:cs="Times New Roman"/>
          <w:lang w:val="en-CA" w:eastAsia="en-CA"/>
        </w:rPr>
      </w:pPr>
      <w:r w:rsidRPr="00BE2220">
        <w:rPr>
          <w:rFonts w:eastAsia="Batang" w:cs="Calibri"/>
          <w:color w:val="000000"/>
          <w:lang w:val="en-CA" w:eastAsia="en-CA"/>
        </w:rPr>
        <w:t>Substantial financial investments. Linkage of the NAP to the Canada Health Transfer and</w:t>
      </w:r>
      <w:r w:rsidRPr="00BE2220">
        <w:rPr>
          <w:rFonts w:eastAsia="Times New Roman" w:cs="Calibri"/>
          <w:color w:val="000000"/>
          <w:lang w:val="en-CA" w:eastAsia="en-CA"/>
        </w:rPr>
        <w:t xml:space="preserve"> Canada Social Transfer</w:t>
      </w:r>
    </w:p>
    <w:p w14:paraId="029EA75B" w14:textId="77777777" w:rsidR="00BE2220" w:rsidRPr="00BE2220" w:rsidRDefault="00BE2220" w:rsidP="00BE2220">
      <w:pPr>
        <w:pStyle w:val="ListParagraph"/>
        <w:numPr>
          <w:ilvl w:val="0"/>
          <w:numId w:val="29"/>
        </w:numPr>
        <w:rPr>
          <w:rFonts w:eastAsia="Times New Roman" w:cs="Times New Roman"/>
          <w:lang w:val="en-CA" w:eastAsia="en-CA"/>
        </w:rPr>
      </w:pPr>
      <w:r w:rsidRPr="00BE2220">
        <w:rPr>
          <w:rFonts w:eastAsia="Times New Roman" w:cs="Calibri"/>
          <w:color w:val="000000"/>
          <w:lang w:val="en-CA" w:eastAsia="en-CA"/>
        </w:rPr>
        <w:t>Investing in the development of common objectives and measurable outcomes with the</w:t>
      </w:r>
      <w:r w:rsidRPr="00BE2220">
        <w:rPr>
          <w:rFonts w:eastAsia="Times New Roman" w:cs="Calibri"/>
          <w:color w:val="000000"/>
          <w:lang w:val="en-CA" w:eastAsia="en-CA"/>
        </w:rPr>
        <w:br/>
        <w:t>provinces and territories</w:t>
      </w:r>
    </w:p>
    <w:p w14:paraId="1B87067B" w14:textId="77777777" w:rsidR="00BE2220" w:rsidRPr="00BE2220" w:rsidRDefault="00BE2220" w:rsidP="00BE2220">
      <w:pPr>
        <w:pStyle w:val="ListParagraph"/>
        <w:numPr>
          <w:ilvl w:val="0"/>
          <w:numId w:val="29"/>
        </w:numPr>
        <w:rPr>
          <w:rFonts w:eastAsia="Times New Roman" w:cs="Times New Roman"/>
          <w:lang w:val="en-CA" w:eastAsia="en-CA"/>
        </w:rPr>
      </w:pPr>
      <w:r w:rsidRPr="008B525B">
        <w:rPr>
          <w:rFonts w:eastAsia="Times New Roman" w:cs="Calibri"/>
          <w:color w:val="000000"/>
          <w:lang w:val="en-CA" w:eastAsia="en-CA"/>
        </w:rPr>
        <w:t>Strengthening of social policies that affect women’s vulnerability to violence</w:t>
      </w:r>
      <w:r w:rsidRPr="008B525B">
        <w:rPr>
          <w:rFonts w:eastAsia="Times New Roman" w:cs="Calibri"/>
          <w:color w:val="000000"/>
          <w:lang w:val="en-CA" w:eastAsia="en-CA"/>
        </w:rPr>
        <w:br/>
        <w:t>Commitment to measurable goals and timelines and the resources required to meet</w:t>
      </w:r>
      <w:r w:rsidRPr="008B525B">
        <w:rPr>
          <w:rFonts w:eastAsia="Times New Roman" w:cs="Calibri"/>
          <w:color w:val="000000"/>
          <w:lang w:val="en-CA" w:eastAsia="en-CA"/>
        </w:rPr>
        <w:br/>
        <w:t>these.</w:t>
      </w:r>
    </w:p>
    <w:p w14:paraId="26106DE9" w14:textId="77777777" w:rsidR="00BE2220" w:rsidRPr="008B525B" w:rsidRDefault="00BE2220" w:rsidP="008B525B">
      <w:pPr>
        <w:rPr>
          <w:rFonts w:eastAsia="Times New Roman" w:cs="Times New Roman"/>
          <w:lang w:val="en-CA" w:eastAsia="en-CA"/>
        </w:rPr>
      </w:pPr>
    </w:p>
    <w:p w14:paraId="5F554A3A" w14:textId="77777777" w:rsidR="00120EAE" w:rsidRPr="00254302" w:rsidRDefault="006B2904">
      <w:pPr>
        <w:rPr>
          <w:rFonts w:cs="Times New Roman"/>
          <w:b/>
        </w:rPr>
      </w:pPr>
      <w:r w:rsidRPr="00254302">
        <w:rPr>
          <w:rFonts w:cs="Times New Roman"/>
          <w:b/>
        </w:rPr>
        <w:t xml:space="preserve">VAW </w:t>
      </w:r>
      <w:r w:rsidR="00BE2220" w:rsidRPr="00254302">
        <w:rPr>
          <w:rFonts w:cs="Times New Roman"/>
          <w:b/>
        </w:rPr>
        <w:t xml:space="preserve">Law Reform </w:t>
      </w:r>
      <w:r w:rsidR="00B56284">
        <w:rPr>
          <w:rFonts w:cs="Times New Roman"/>
          <w:b/>
        </w:rPr>
        <w:t>R</w:t>
      </w:r>
      <w:r w:rsidR="00BE2220" w:rsidRPr="00254302">
        <w:rPr>
          <w:rFonts w:cs="Times New Roman"/>
          <w:b/>
        </w:rPr>
        <w:t>ecommendation #2</w:t>
      </w:r>
      <w:r w:rsidR="0082107A">
        <w:rPr>
          <w:rFonts w:cs="Times New Roman"/>
          <w:b/>
        </w:rPr>
        <w:t>:</w:t>
      </w:r>
    </w:p>
    <w:p w14:paraId="660D70F4" w14:textId="77777777" w:rsidR="006B2904" w:rsidRDefault="006B2904">
      <w:pPr>
        <w:rPr>
          <w:rFonts w:cs="Times New Roman"/>
        </w:rPr>
      </w:pPr>
    </w:p>
    <w:p w14:paraId="2CB33156" w14:textId="77777777" w:rsidR="006B2904" w:rsidRPr="006B2904" w:rsidRDefault="006B2904" w:rsidP="00B870C1">
      <w:pPr>
        <w:ind w:left="720"/>
        <w:rPr>
          <w:rFonts w:cs="Times New Roman"/>
          <w:b/>
        </w:rPr>
      </w:pPr>
      <w:r w:rsidRPr="006B2904">
        <w:rPr>
          <w:rFonts w:cs="Times New Roman"/>
          <w:b/>
        </w:rPr>
        <w:t xml:space="preserve">That Canada </w:t>
      </w:r>
      <w:r w:rsidR="00B870C1">
        <w:rPr>
          <w:rFonts w:cs="Times New Roman"/>
          <w:b/>
        </w:rPr>
        <w:t>develop</w:t>
      </w:r>
      <w:r w:rsidRPr="006B2904">
        <w:rPr>
          <w:rFonts w:cs="Times New Roman"/>
          <w:b/>
        </w:rPr>
        <w:t>, fund</w:t>
      </w:r>
      <w:r w:rsidR="004F742D">
        <w:rPr>
          <w:rFonts w:cs="Times New Roman"/>
          <w:b/>
        </w:rPr>
        <w:t>,</w:t>
      </w:r>
      <w:r w:rsidRPr="006B2904">
        <w:rPr>
          <w:rFonts w:cs="Times New Roman"/>
          <w:b/>
        </w:rPr>
        <w:t xml:space="preserve"> and implement a NAP VAW</w:t>
      </w:r>
      <w:r w:rsidR="00B870C1">
        <w:rPr>
          <w:rFonts w:cs="Times New Roman"/>
          <w:b/>
        </w:rPr>
        <w:t xml:space="preserve"> in accordance with the </w:t>
      </w:r>
      <w:r w:rsidR="00E25A9B">
        <w:rPr>
          <w:rFonts w:cs="Times New Roman"/>
          <w:b/>
        </w:rPr>
        <w:t>United Nations guidance on NAP VAW</w:t>
      </w:r>
      <w:r w:rsidR="00B870C1">
        <w:rPr>
          <w:rStyle w:val="FootnoteReference"/>
          <w:rFonts w:cs="Times New Roman"/>
          <w:b/>
        </w:rPr>
        <w:footnoteReference w:id="6"/>
      </w:r>
    </w:p>
    <w:p w14:paraId="71786AE9" w14:textId="77777777" w:rsidR="00BE2220" w:rsidRDefault="00BE2220">
      <w:pPr>
        <w:rPr>
          <w:rFonts w:cs="Times New Roman"/>
        </w:rPr>
      </w:pPr>
    </w:p>
    <w:p w14:paraId="33AA4F1A" w14:textId="77777777" w:rsidR="00DB03B0" w:rsidRPr="00190AE2" w:rsidRDefault="00DB03B0">
      <w:pPr>
        <w:rPr>
          <w:rFonts w:cs="Times New Roman"/>
        </w:rPr>
      </w:pPr>
    </w:p>
    <w:p w14:paraId="27A965FF" w14:textId="77777777" w:rsidR="00120EAE" w:rsidRPr="0082107A" w:rsidRDefault="008B525B" w:rsidP="00890214">
      <w:pPr>
        <w:pStyle w:val="ListParagraph"/>
        <w:numPr>
          <w:ilvl w:val="0"/>
          <w:numId w:val="30"/>
        </w:numPr>
        <w:rPr>
          <w:rFonts w:cs="Arial"/>
          <w:b/>
          <w:u w:val="single"/>
          <w:lang w:val="en-CA"/>
        </w:rPr>
      </w:pPr>
      <w:r w:rsidRPr="0082107A">
        <w:rPr>
          <w:rFonts w:cs="Arial"/>
          <w:b/>
          <w:u w:val="single"/>
          <w:lang w:val="en-CA"/>
        </w:rPr>
        <w:t>Intimate Partner/Domestic violence</w:t>
      </w:r>
      <w:r w:rsidR="006F392A" w:rsidRPr="0082107A">
        <w:rPr>
          <w:rFonts w:cs="Arial"/>
          <w:b/>
          <w:u w:val="single"/>
          <w:lang w:val="en-CA"/>
        </w:rPr>
        <w:t xml:space="preserve"> against women and girls</w:t>
      </w:r>
    </w:p>
    <w:p w14:paraId="28BAC167" w14:textId="77777777" w:rsidR="008B525B" w:rsidRPr="00190AE2" w:rsidRDefault="008B525B">
      <w:pPr>
        <w:rPr>
          <w:rFonts w:cs="Times New Roman"/>
        </w:rPr>
      </w:pPr>
    </w:p>
    <w:p w14:paraId="1F9A5720" w14:textId="77777777" w:rsidR="008B525B" w:rsidRPr="00190AE2" w:rsidRDefault="008B525B" w:rsidP="008B525B">
      <w:pPr>
        <w:pStyle w:val="NoSpacing"/>
        <w:tabs>
          <w:tab w:val="left" w:pos="9923"/>
        </w:tabs>
        <w:rPr>
          <w:rFonts w:cs="Arial"/>
          <w:sz w:val="24"/>
          <w:szCs w:val="24"/>
          <w:lang w:val="en-CA"/>
        </w:rPr>
      </w:pPr>
      <w:r w:rsidRPr="00190AE2">
        <w:rPr>
          <w:rFonts w:cs="Arial"/>
          <w:sz w:val="24"/>
          <w:szCs w:val="24"/>
          <w:lang w:val="en-CA"/>
        </w:rPr>
        <w:t>Domestic violence or Intimate Partner Violence is still one of the most common forms of violence against women in Canada. A woman is killed by her partner or former partner every 6 days. Many things can be done to prevent domestic violence, to better support survivors and to prevent femicide. One is a major coordinated legislation reform.</w:t>
      </w:r>
    </w:p>
    <w:p w14:paraId="7F0D1DC5" w14:textId="4A18437F" w:rsidR="008B525B" w:rsidRDefault="008B525B" w:rsidP="008B525B">
      <w:pPr>
        <w:pStyle w:val="NoSpacing"/>
        <w:tabs>
          <w:tab w:val="left" w:pos="9923"/>
        </w:tabs>
        <w:rPr>
          <w:rFonts w:cs="Arial"/>
          <w:sz w:val="24"/>
          <w:szCs w:val="24"/>
          <w:lang w:val="en-CA"/>
        </w:rPr>
      </w:pPr>
    </w:p>
    <w:p w14:paraId="1FE23708" w14:textId="77777777" w:rsidR="005708D2" w:rsidRPr="00190AE2" w:rsidRDefault="005708D2" w:rsidP="008B525B">
      <w:pPr>
        <w:pStyle w:val="NoSpacing"/>
        <w:tabs>
          <w:tab w:val="left" w:pos="9923"/>
        </w:tabs>
        <w:rPr>
          <w:rFonts w:cs="Arial"/>
          <w:sz w:val="24"/>
          <w:szCs w:val="24"/>
          <w:lang w:val="en-CA"/>
        </w:rPr>
      </w:pPr>
    </w:p>
    <w:p w14:paraId="353C02C8" w14:textId="77777777" w:rsidR="008B525B" w:rsidRPr="00190AE2" w:rsidRDefault="00890214" w:rsidP="008B525B">
      <w:pPr>
        <w:pStyle w:val="NoSpacing"/>
        <w:tabs>
          <w:tab w:val="left" w:pos="9923"/>
        </w:tabs>
        <w:rPr>
          <w:rFonts w:cs="Arial"/>
          <w:b/>
          <w:sz w:val="24"/>
          <w:szCs w:val="24"/>
          <w:lang w:val="en-CA"/>
        </w:rPr>
      </w:pPr>
      <w:r>
        <w:rPr>
          <w:rFonts w:cs="Arial"/>
          <w:b/>
          <w:sz w:val="24"/>
          <w:szCs w:val="24"/>
          <w:lang w:val="en-CA"/>
        </w:rPr>
        <w:lastRenderedPageBreak/>
        <w:t xml:space="preserve">VAW </w:t>
      </w:r>
      <w:r w:rsidR="008B525B" w:rsidRPr="00190AE2">
        <w:rPr>
          <w:rFonts w:cs="Arial"/>
          <w:b/>
          <w:sz w:val="24"/>
          <w:szCs w:val="24"/>
          <w:lang w:val="en-CA"/>
        </w:rPr>
        <w:t>Law Reform Recommendation #</w:t>
      </w:r>
      <w:r>
        <w:rPr>
          <w:rFonts w:cs="Arial"/>
          <w:b/>
          <w:sz w:val="24"/>
          <w:szCs w:val="24"/>
          <w:lang w:val="en-CA"/>
        </w:rPr>
        <w:t>3</w:t>
      </w:r>
      <w:r w:rsidR="0082107A">
        <w:rPr>
          <w:rFonts w:cs="Arial"/>
          <w:b/>
          <w:sz w:val="24"/>
          <w:szCs w:val="24"/>
          <w:lang w:val="en-CA"/>
        </w:rPr>
        <w:t>:</w:t>
      </w:r>
    </w:p>
    <w:p w14:paraId="5A438201" w14:textId="77777777" w:rsidR="008B525B" w:rsidRPr="00DB03B0" w:rsidRDefault="00DB03B0" w:rsidP="00DB03B0">
      <w:pPr>
        <w:pStyle w:val="NoSpacing"/>
        <w:tabs>
          <w:tab w:val="left" w:pos="9923"/>
        </w:tabs>
        <w:ind w:left="720"/>
        <w:rPr>
          <w:rFonts w:cs="Arial"/>
          <w:b/>
          <w:sz w:val="24"/>
          <w:szCs w:val="24"/>
          <w:lang w:val="en-CA"/>
        </w:rPr>
      </w:pPr>
      <w:r>
        <w:rPr>
          <w:rFonts w:cs="Arial"/>
          <w:sz w:val="24"/>
          <w:szCs w:val="24"/>
          <w:lang w:val="en-CA"/>
        </w:rPr>
        <w:tab/>
      </w:r>
      <w:r w:rsidRPr="00DB03B0">
        <w:rPr>
          <w:rFonts w:cs="Arial"/>
          <w:b/>
          <w:sz w:val="24"/>
          <w:szCs w:val="24"/>
          <w:lang w:val="en-CA"/>
        </w:rPr>
        <w:t>That the</w:t>
      </w:r>
      <w:r w:rsidR="008B525B" w:rsidRPr="00DB03B0">
        <w:rPr>
          <w:rFonts w:cs="Arial"/>
          <w:b/>
          <w:sz w:val="24"/>
          <w:szCs w:val="24"/>
          <w:lang w:val="en-CA"/>
        </w:rPr>
        <w:t xml:space="preserve"> federal, provincial and territorial governments have to work together to build a more coherent and comprehensive legislative framework on domestic violence that recognizes and acknowledges the specificity of this kind of violence.</w:t>
      </w:r>
    </w:p>
    <w:p w14:paraId="6ADF47E9" w14:textId="77777777" w:rsidR="008B525B" w:rsidRDefault="008B525B" w:rsidP="008B525B">
      <w:pPr>
        <w:pStyle w:val="NoSpacing"/>
        <w:tabs>
          <w:tab w:val="left" w:pos="9923"/>
        </w:tabs>
        <w:rPr>
          <w:rFonts w:cs="Arial"/>
          <w:sz w:val="24"/>
          <w:szCs w:val="24"/>
          <w:lang w:val="en-CA"/>
        </w:rPr>
      </w:pPr>
    </w:p>
    <w:p w14:paraId="12D6B6E6" w14:textId="77777777" w:rsidR="00DB03B0" w:rsidRPr="00DB03B0" w:rsidRDefault="00DB03B0" w:rsidP="00DB03B0">
      <w:pPr>
        <w:pStyle w:val="NoSpacing"/>
        <w:tabs>
          <w:tab w:val="left" w:pos="9923"/>
        </w:tabs>
        <w:rPr>
          <w:rFonts w:cs="Arial"/>
          <w:sz w:val="24"/>
          <w:szCs w:val="24"/>
          <w:lang w:val="en-CA"/>
        </w:rPr>
      </w:pPr>
      <w:r w:rsidRPr="00DB03B0">
        <w:rPr>
          <w:rFonts w:cs="Arial"/>
          <w:sz w:val="24"/>
          <w:szCs w:val="24"/>
          <w:lang w:val="en-CA"/>
        </w:rPr>
        <w:t>Right now, some forms of violence are criminalized, such as physical and sexual violence and stalking, but domestic violence isn’t recognized as a whole. A more comprehensive definition should include all the aspects of domestic violence, including psychological, emotional and economical abuse.</w:t>
      </w:r>
    </w:p>
    <w:p w14:paraId="523355C4" w14:textId="4553D263" w:rsidR="00DB03B0" w:rsidRDefault="00DB03B0" w:rsidP="008B525B">
      <w:pPr>
        <w:pStyle w:val="NoSpacing"/>
        <w:tabs>
          <w:tab w:val="left" w:pos="9923"/>
        </w:tabs>
        <w:rPr>
          <w:rFonts w:cs="Arial"/>
          <w:sz w:val="24"/>
          <w:szCs w:val="24"/>
          <w:lang w:val="en-CA"/>
        </w:rPr>
      </w:pPr>
    </w:p>
    <w:p w14:paraId="3BBAED37" w14:textId="77777777" w:rsidR="005708D2" w:rsidRPr="00190AE2" w:rsidRDefault="005708D2" w:rsidP="008B525B">
      <w:pPr>
        <w:pStyle w:val="NoSpacing"/>
        <w:tabs>
          <w:tab w:val="left" w:pos="9923"/>
        </w:tabs>
        <w:rPr>
          <w:rFonts w:cs="Arial"/>
          <w:sz w:val="24"/>
          <w:szCs w:val="24"/>
          <w:lang w:val="en-CA"/>
        </w:rPr>
      </w:pPr>
    </w:p>
    <w:p w14:paraId="166E3398" w14:textId="77777777" w:rsidR="008B525B" w:rsidRPr="00190AE2" w:rsidRDefault="00890214" w:rsidP="008B525B">
      <w:pPr>
        <w:pStyle w:val="NoSpacing"/>
        <w:tabs>
          <w:tab w:val="left" w:pos="9923"/>
        </w:tabs>
        <w:rPr>
          <w:rFonts w:cs="Arial"/>
          <w:b/>
          <w:sz w:val="24"/>
          <w:szCs w:val="24"/>
          <w:lang w:val="en-CA"/>
        </w:rPr>
      </w:pPr>
      <w:r>
        <w:rPr>
          <w:rFonts w:cs="Arial"/>
          <w:b/>
          <w:sz w:val="24"/>
          <w:szCs w:val="24"/>
          <w:lang w:val="en-CA"/>
        </w:rPr>
        <w:t xml:space="preserve">VAW </w:t>
      </w:r>
      <w:r w:rsidR="008B525B" w:rsidRPr="00190AE2">
        <w:rPr>
          <w:rFonts w:cs="Arial"/>
          <w:b/>
          <w:sz w:val="24"/>
          <w:szCs w:val="24"/>
          <w:lang w:val="en-CA"/>
        </w:rPr>
        <w:t>Law Reform Recommendation #</w:t>
      </w:r>
      <w:r>
        <w:rPr>
          <w:rFonts w:cs="Arial"/>
          <w:b/>
          <w:sz w:val="24"/>
          <w:szCs w:val="24"/>
          <w:lang w:val="en-CA"/>
        </w:rPr>
        <w:t>4</w:t>
      </w:r>
      <w:r w:rsidR="0082107A">
        <w:rPr>
          <w:rFonts w:cs="Arial"/>
          <w:b/>
          <w:sz w:val="24"/>
          <w:szCs w:val="24"/>
          <w:lang w:val="en-CA"/>
        </w:rPr>
        <w:t>:</w:t>
      </w:r>
    </w:p>
    <w:p w14:paraId="1CBE1D92" w14:textId="77777777" w:rsidR="00DB03B0" w:rsidRDefault="00DB03B0" w:rsidP="008B525B">
      <w:pPr>
        <w:pStyle w:val="NoSpacing"/>
        <w:tabs>
          <w:tab w:val="left" w:pos="9923"/>
        </w:tabs>
        <w:rPr>
          <w:rFonts w:cs="Arial"/>
          <w:sz w:val="24"/>
          <w:szCs w:val="24"/>
          <w:lang w:val="en-CA"/>
        </w:rPr>
      </w:pPr>
    </w:p>
    <w:p w14:paraId="44812B3A" w14:textId="77777777" w:rsidR="008B525B" w:rsidRPr="00DB03B0" w:rsidRDefault="00DB03B0" w:rsidP="00DB03B0">
      <w:pPr>
        <w:pStyle w:val="NoSpacing"/>
        <w:tabs>
          <w:tab w:val="left" w:pos="9923"/>
        </w:tabs>
        <w:ind w:left="720"/>
        <w:rPr>
          <w:rFonts w:cs="Arial"/>
          <w:b/>
          <w:sz w:val="24"/>
          <w:szCs w:val="24"/>
          <w:lang w:val="en-CA"/>
        </w:rPr>
      </w:pPr>
      <w:r w:rsidRPr="00DB03B0">
        <w:rPr>
          <w:rFonts w:cs="Arial"/>
          <w:b/>
          <w:sz w:val="24"/>
          <w:szCs w:val="24"/>
          <w:lang w:val="en-CA"/>
        </w:rPr>
        <w:t>That a</w:t>
      </w:r>
      <w:r w:rsidR="008B525B" w:rsidRPr="00DB03B0">
        <w:rPr>
          <w:rFonts w:cs="Arial"/>
          <w:b/>
          <w:sz w:val="24"/>
          <w:szCs w:val="24"/>
          <w:lang w:val="en-CA"/>
        </w:rPr>
        <w:t xml:space="preserve"> section of the </w:t>
      </w:r>
      <w:r w:rsidR="00C33554" w:rsidRPr="00C33554">
        <w:rPr>
          <w:rFonts w:cs="Arial"/>
          <w:b/>
          <w:i/>
          <w:sz w:val="24"/>
          <w:szCs w:val="24"/>
          <w:lang w:val="en-CA"/>
        </w:rPr>
        <w:t>C</w:t>
      </w:r>
      <w:r w:rsidR="008B525B" w:rsidRPr="00C33554">
        <w:rPr>
          <w:rFonts w:cs="Arial"/>
          <w:b/>
          <w:i/>
          <w:sz w:val="24"/>
          <w:szCs w:val="24"/>
          <w:lang w:val="en-CA"/>
        </w:rPr>
        <w:t xml:space="preserve">riminal </w:t>
      </w:r>
      <w:r w:rsidR="00C33554" w:rsidRPr="00C33554">
        <w:rPr>
          <w:rFonts w:cs="Arial"/>
          <w:b/>
          <w:i/>
          <w:sz w:val="24"/>
          <w:szCs w:val="24"/>
          <w:lang w:val="en-CA"/>
        </w:rPr>
        <w:t>C</w:t>
      </w:r>
      <w:r w:rsidR="008B525B" w:rsidRPr="00C33554">
        <w:rPr>
          <w:rFonts w:cs="Arial"/>
          <w:b/>
          <w:i/>
          <w:sz w:val="24"/>
          <w:szCs w:val="24"/>
          <w:lang w:val="en-CA"/>
        </w:rPr>
        <w:t>ode</w:t>
      </w:r>
      <w:r w:rsidR="008B525B" w:rsidRPr="00DB03B0">
        <w:rPr>
          <w:rFonts w:cs="Arial"/>
          <w:b/>
          <w:sz w:val="24"/>
          <w:szCs w:val="24"/>
          <w:lang w:val="en-CA"/>
        </w:rPr>
        <w:t xml:space="preserve"> be dedicated to domestic violence. The </w:t>
      </w:r>
      <w:r w:rsidR="00C33554" w:rsidRPr="00C33554">
        <w:rPr>
          <w:rFonts w:cs="Arial"/>
          <w:b/>
          <w:i/>
          <w:sz w:val="24"/>
          <w:szCs w:val="24"/>
          <w:lang w:val="en-CA"/>
        </w:rPr>
        <w:t>C</w:t>
      </w:r>
      <w:r w:rsidR="008B525B" w:rsidRPr="00C33554">
        <w:rPr>
          <w:rFonts w:cs="Arial"/>
          <w:b/>
          <w:i/>
          <w:sz w:val="24"/>
          <w:szCs w:val="24"/>
          <w:lang w:val="en-CA"/>
        </w:rPr>
        <w:t xml:space="preserve">riminal </w:t>
      </w:r>
      <w:r w:rsidR="00C33554" w:rsidRPr="00C33554">
        <w:rPr>
          <w:rFonts w:cs="Arial"/>
          <w:b/>
          <w:i/>
          <w:sz w:val="24"/>
          <w:szCs w:val="24"/>
          <w:lang w:val="en-CA"/>
        </w:rPr>
        <w:t>C</w:t>
      </w:r>
      <w:r w:rsidR="008B525B" w:rsidRPr="00C33554">
        <w:rPr>
          <w:rFonts w:cs="Arial"/>
          <w:b/>
          <w:i/>
          <w:sz w:val="24"/>
          <w:szCs w:val="24"/>
          <w:lang w:val="en-CA"/>
        </w:rPr>
        <w:t>ode</w:t>
      </w:r>
      <w:r w:rsidR="008B525B" w:rsidRPr="00DB03B0">
        <w:rPr>
          <w:rFonts w:cs="Arial"/>
          <w:b/>
          <w:sz w:val="24"/>
          <w:szCs w:val="24"/>
          <w:lang w:val="en-CA"/>
        </w:rPr>
        <w:t xml:space="preserve"> needs also to include an appropriate and comprehensive definition of domestic violence to hold the abuser fully accountable. </w:t>
      </w:r>
    </w:p>
    <w:p w14:paraId="2A642AF6" w14:textId="77777777" w:rsidR="008B525B" w:rsidRPr="00190AE2" w:rsidRDefault="008B525B" w:rsidP="008B525B">
      <w:pPr>
        <w:pStyle w:val="NoSpacing"/>
        <w:tabs>
          <w:tab w:val="left" w:pos="9923"/>
        </w:tabs>
        <w:rPr>
          <w:rFonts w:cs="Arial"/>
          <w:sz w:val="24"/>
          <w:szCs w:val="24"/>
          <w:lang w:val="en-CA"/>
        </w:rPr>
      </w:pPr>
    </w:p>
    <w:p w14:paraId="7579A310" w14:textId="43FDA2F7" w:rsidR="00970ED7" w:rsidRPr="00190AE2" w:rsidRDefault="008B525B" w:rsidP="00970ED7">
      <w:pPr>
        <w:pStyle w:val="NoSpacing"/>
        <w:tabs>
          <w:tab w:val="left" w:pos="9923"/>
        </w:tabs>
        <w:rPr>
          <w:rFonts w:cs="Arial"/>
          <w:sz w:val="24"/>
          <w:szCs w:val="24"/>
          <w:lang w:val="en-CA"/>
        </w:rPr>
      </w:pPr>
      <w:r w:rsidRPr="00190AE2">
        <w:rPr>
          <w:rFonts w:cs="Arial"/>
          <w:sz w:val="24"/>
          <w:szCs w:val="24"/>
          <w:lang w:val="en-CA"/>
        </w:rPr>
        <w:t xml:space="preserve">It’s also necessary that laws protect women and their children when separation or divorce occurs. We know that the abuse doesn’t stop after a separation and in fact, the period immediately after a separation is the most dangerous for abused women (many are killed by an ex-partner). Given those facts, after a separation, the priority should be given to the protection and the safety of women and their children. </w:t>
      </w:r>
      <w:r w:rsidR="00970ED7" w:rsidRPr="00190AE2">
        <w:rPr>
          <w:rFonts w:cs="Arial"/>
          <w:sz w:val="24"/>
          <w:szCs w:val="24"/>
          <w:lang w:val="en-CA"/>
        </w:rPr>
        <w:t>For example, the privacy of an abused woman and her children should be guaranteed if she has concerns about her safety</w:t>
      </w:r>
      <w:r w:rsidR="00970ED7">
        <w:rPr>
          <w:rFonts w:cs="Arial"/>
          <w:sz w:val="24"/>
          <w:szCs w:val="24"/>
          <w:lang w:val="en-CA"/>
        </w:rPr>
        <w:t xml:space="preserve"> and the safety of her children</w:t>
      </w:r>
      <w:r w:rsidR="00970ED7" w:rsidRPr="00190AE2">
        <w:rPr>
          <w:rFonts w:cs="Arial"/>
          <w:sz w:val="24"/>
          <w:szCs w:val="24"/>
          <w:lang w:val="en-CA"/>
        </w:rPr>
        <w:t>. She should be allowed not to disclose her address and the police shouldn’t say where she is if there is a missing person investigation. The question of custody and access to the children needs also to be reviewed. Too often abusers are seen as good fathers despite the abuse and have shared custody and unsupervised visits allowing them to continue the abuse. Domestic violence should be taken into consideration when a decision about custody and visits is made and protective measures need to be taken. A father accused of domestic violence should get limited access to the children.</w:t>
      </w:r>
    </w:p>
    <w:p w14:paraId="4BEF02B4" w14:textId="77777777" w:rsidR="00970ED7" w:rsidRDefault="00970ED7" w:rsidP="00DB03B0">
      <w:pPr>
        <w:pStyle w:val="NoSpacing"/>
        <w:tabs>
          <w:tab w:val="left" w:pos="9923"/>
        </w:tabs>
        <w:rPr>
          <w:rFonts w:cs="Arial"/>
          <w:b/>
          <w:sz w:val="24"/>
          <w:szCs w:val="24"/>
          <w:lang w:val="en-CA"/>
        </w:rPr>
      </w:pPr>
    </w:p>
    <w:p w14:paraId="101777FE" w14:textId="77777777" w:rsidR="00DB03B0" w:rsidRPr="00190AE2" w:rsidRDefault="00DB03B0" w:rsidP="00DB03B0">
      <w:pPr>
        <w:pStyle w:val="NoSpacing"/>
        <w:tabs>
          <w:tab w:val="left" w:pos="9923"/>
        </w:tabs>
        <w:rPr>
          <w:rFonts w:cs="Arial"/>
          <w:b/>
          <w:sz w:val="24"/>
          <w:szCs w:val="24"/>
          <w:lang w:val="en-CA"/>
        </w:rPr>
      </w:pPr>
      <w:r>
        <w:rPr>
          <w:rFonts w:cs="Arial"/>
          <w:b/>
          <w:sz w:val="24"/>
          <w:szCs w:val="24"/>
          <w:lang w:val="en-CA"/>
        </w:rPr>
        <w:t xml:space="preserve">VAW </w:t>
      </w:r>
      <w:r w:rsidRPr="00190AE2">
        <w:rPr>
          <w:rFonts w:cs="Arial"/>
          <w:b/>
          <w:sz w:val="24"/>
          <w:szCs w:val="24"/>
          <w:lang w:val="en-CA"/>
        </w:rPr>
        <w:t>Law Reform Recommendation #</w:t>
      </w:r>
      <w:r>
        <w:rPr>
          <w:rFonts w:cs="Arial"/>
          <w:b/>
          <w:sz w:val="24"/>
          <w:szCs w:val="24"/>
          <w:lang w:val="en-CA"/>
        </w:rPr>
        <w:t>5</w:t>
      </w:r>
      <w:r w:rsidR="0082107A">
        <w:rPr>
          <w:rFonts w:cs="Arial"/>
          <w:b/>
          <w:sz w:val="24"/>
          <w:szCs w:val="24"/>
          <w:lang w:val="en-CA"/>
        </w:rPr>
        <w:t>:</w:t>
      </w:r>
    </w:p>
    <w:p w14:paraId="6F630C3C" w14:textId="77777777" w:rsidR="00DB03B0" w:rsidRDefault="00DB03B0" w:rsidP="008B525B">
      <w:pPr>
        <w:pStyle w:val="NoSpacing"/>
        <w:tabs>
          <w:tab w:val="left" w:pos="9923"/>
        </w:tabs>
        <w:rPr>
          <w:rFonts w:cs="Arial"/>
          <w:b/>
          <w:sz w:val="24"/>
          <w:szCs w:val="24"/>
          <w:lang w:val="en-CA"/>
        </w:rPr>
      </w:pPr>
    </w:p>
    <w:p w14:paraId="0FCE76C7" w14:textId="5EE1023C" w:rsidR="00970ED7" w:rsidRPr="00970ED7" w:rsidRDefault="00970ED7" w:rsidP="00970ED7">
      <w:pPr>
        <w:pStyle w:val="NoSpacing"/>
        <w:tabs>
          <w:tab w:val="left" w:pos="9923"/>
        </w:tabs>
        <w:ind w:left="720"/>
        <w:rPr>
          <w:rFonts w:cs="Arial"/>
          <w:b/>
          <w:sz w:val="24"/>
          <w:szCs w:val="24"/>
          <w:lang w:val="en-CA"/>
        </w:rPr>
      </w:pPr>
      <w:r>
        <w:rPr>
          <w:rFonts w:cs="Arial"/>
          <w:sz w:val="24"/>
          <w:szCs w:val="24"/>
          <w:lang w:val="en-CA"/>
        </w:rPr>
        <w:tab/>
      </w:r>
      <w:r w:rsidRPr="00551BC3">
        <w:rPr>
          <w:rFonts w:cs="Arial"/>
          <w:b/>
          <w:sz w:val="24"/>
          <w:szCs w:val="24"/>
          <w:lang w:val="en-CA"/>
        </w:rPr>
        <w:t>That f</w:t>
      </w:r>
      <w:r w:rsidR="008B525B" w:rsidRPr="00551BC3">
        <w:rPr>
          <w:rFonts w:cs="Arial"/>
          <w:b/>
          <w:sz w:val="24"/>
          <w:szCs w:val="24"/>
          <w:lang w:val="en-CA"/>
        </w:rPr>
        <w:t xml:space="preserve">amily laws and the </w:t>
      </w:r>
      <w:r w:rsidR="009357E6" w:rsidRPr="00551BC3">
        <w:rPr>
          <w:rFonts w:cs="Arial"/>
          <w:b/>
          <w:i/>
          <w:sz w:val="24"/>
          <w:szCs w:val="24"/>
          <w:lang w:val="en-CA"/>
        </w:rPr>
        <w:t>D</w:t>
      </w:r>
      <w:r w:rsidR="008B525B" w:rsidRPr="00551BC3">
        <w:rPr>
          <w:rFonts w:cs="Arial"/>
          <w:b/>
          <w:i/>
          <w:sz w:val="24"/>
          <w:szCs w:val="24"/>
          <w:lang w:val="en-CA"/>
        </w:rPr>
        <w:t xml:space="preserve">ivorce </w:t>
      </w:r>
      <w:r w:rsidR="009357E6" w:rsidRPr="00551BC3">
        <w:rPr>
          <w:rFonts w:cs="Arial"/>
          <w:b/>
          <w:i/>
          <w:sz w:val="24"/>
          <w:szCs w:val="24"/>
          <w:lang w:val="en-CA"/>
        </w:rPr>
        <w:t>A</w:t>
      </w:r>
      <w:r w:rsidR="008B525B" w:rsidRPr="00551BC3">
        <w:rPr>
          <w:rFonts w:cs="Arial"/>
          <w:b/>
          <w:i/>
          <w:sz w:val="24"/>
          <w:szCs w:val="24"/>
          <w:lang w:val="en-CA"/>
        </w:rPr>
        <w:t>ct</w:t>
      </w:r>
      <w:r w:rsidR="009357E6" w:rsidRPr="00551BC3">
        <w:rPr>
          <w:rStyle w:val="FootnoteReference"/>
          <w:rFonts w:cs="Arial"/>
          <w:b/>
          <w:i/>
          <w:sz w:val="24"/>
          <w:szCs w:val="24"/>
          <w:lang w:val="en-CA"/>
        </w:rPr>
        <w:footnoteReference w:id="7"/>
      </w:r>
      <w:r w:rsidR="008B525B" w:rsidRPr="00551BC3">
        <w:rPr>
          <w:rFonts w:cs="Arial"/>
          <w:b/>
          <w:sz w:val="24"/>
          <w:szCs w:val="24"/>
          <w:lang w:val="en-CA"/>
        </w:rPr>
        <w:t xml:space="preserve"> be</w:t>
      </w:r>
      <w:r w:rsidR="008B525B" w:rsidRPr="00970ED7">
        <w:rPr>
          <w:rFonts w:cs="Arial"/>
          <w:b/>
          <w:sz w:val="24"/>
          <w:szCs w:val="24"/>
          <w:lang w:val="en-CA"/>
        </w:rPr>
        <w:t xml:space="preserve"> reviewed to acknowledge domestic violence and the risk it represents for women’s safety. </w:t>
      </w:r>
    </w:p>
    <w:p w14:paraId="2B175CC8" w14:textId="77777777" w:rsidR="00970ED7" w:rsidRDefault="00970ED7" w:rsidP="008B525B">
      <w:pPr>
        <w:pStyle w:val="NoSpacing"/>
        <w:tabs>
          <w:tab w:val="left" w:pos="9923"/>
        </w:tabs>
        <w:rPr>
          <w:rFonts w:cs="Arial"/>
          <w:sz w:val="24"/>
          <w:szCs w:val="24"/>
          <w:lang w:val="en-CA"/>
        </w:rPr>
      </w:pPr>
    </w:p>
    <w:p w14:paraId="3B64C618" w14:textId="4465E3DB" w:rsidR="008B525B" w:rsidRDefault="008B525B" w:rsidP="008B525B">
      <w:pPr>
        <w:pStyle w:val="NoSpacing"/>
        <w:tabs>
          <w:tab w:val="left" w:pos="9923"/>
        </w:tabs>
        <w:ind w:left="1701"/>
        <w:rPr>
          <w:rFonts w:cs="Arial"/>
          <w:sz w:val="24"/>
          <w:szCs w:val="24"/>
          <w:lang w:val="en-CA"/>
        </w:rPr>
      </w:pPr>
    </w:p>
    <w:p w14:paraId="13E31A02" w14:textId="0A698337" w:rsidR="005708D2" w:rsidRDefault="005708D2" w:rsidP="008B525B">
      <w:pPr>
        <w:pStyle w:val="NoSpacing"/>
        <w:tabs>
          <w:tab w:val="left" w:pos="9923"/>
        </w:tabs>
        <w:ind w:left="1701"/>
        <w:rPr>
          <w:rFonts w:cs="Arial"/>
          <w:sz w:val="24"/>
          <w:szCs w:val="24"/>
          <w:lang w:val="en-CA"/>
        </w:rPr>
      </w:pPr>
    </w:p>
    <w:p w14:paraId="0CDB8935" w14:textId="5D2B80E2" w:rsidR="005708D2" w:rsidRDefault="005708D2" w:rsidP="008B525B">
      <w:pPr>
        <w:pStyle w:val="NoSpacing"/>
        <w:tabs>
          <w:tab w:val="left" w:pos="9923"/>
        </w:tabs>
        <w:ind w:left="1701"/>
        <w:rPr>
          <w:rFonts w:cs="Arial"/>
          <w:sz w:val="24"/>
          <w:szCs w:val="24"/>
          <w:lang w:val="en-CA"/>
        </w:rPr>
      </w:pPr>
    </w:p>
    <w:p w14:paraId="68FC34A4" w14:textId="2E7C6FEA" w:rsidR="005708D2" w:rsidRDefault="005708D2" w:rsidP="008B525B">
      <w:pPr>
        <w:pStyle w:val="NoSpacing"/>
        <w:tabs>
          <w:tab w:val="left" w:pos="9923"/>
        </w:tabs>
        <w:ind w:left="1701"/>
        <w:rPr>
          <w:rFonts w:cs="Arial"/>
          <w:sz w:val="24"/>
          <w:szCs w:val="24"/>
          <w:lang w:val="en-CA"/>
        </w:rPr>
      </w:pPr>
    </w:p>
    <w:p w14:paraId="24105997" w14:textId="77777777" w:rsidR="008B525B" w:rsidRPr="00190AE2" w:rsidRDefault="00890214" w:rsidP="008B525B">
      <w:pPr>
        <w:pStyle w:val="NoSpacing"/>
        <w:tabs>
          <w:tab w:val="left" w:pos="9923"/>
        </w:tabs>
        <w:rPr>
          <w:rFonts w:cs="Arial"/>
          <w:b/>
          <w:sz w:val="24"/>
          <w:szCs w:val="24"/>
          <w:lang w:val="en-CA"/>
        </w:rPr>
      </w:pPr>
      <w:r>
        <w:rPr>
          <w:rFonts w:cs="Arial"/>
          <w:b/>
          <w:sz w:val="24"/>
          <w:szCs w:val="24"/>
          <w:lang w:val="en-CA"/>
        </w:rPr>
        <w:lastRenderedPageBreak/>
        <w:t xml:space="preserve">VAW </w:t>
      </w:r>
      <w:r w:rsidR="008B525B" w:rsidRPr="00190AE2">
        <w:rPr>
          <w:rFonts w:cs="Arial"/>
          <w:b/>
          <w:sz w:val="24"/>
          <w:szCs w:val="24"/>
          <w:lang w:val="en-CA"/>
        </w:rPr>
        <w:t>Law Reform Recommendation #</w:t>
      </w:r>
      <w:r>
        <w:rPr>
          <w:rFonts w:cs="Arial"/>
          <w:b/>
          <w:sz w:val="24"/>
          <w:szCs w:val="24"/>
          <w:lang w:val="en-CA"/>
        </w:rPr>
        <w:t>6</w:t>
      </w:r>
      <w:r w:rsidR="0082107A">
        <w:rPr>
          <w:rFonts w:cs="Arial"/>
          <w:b/>
          <w:sz w:val="24"/>
          <w:szCs w:val="24"/>
          <w:lang w:val="en-CA"/>
        </w:rPr>
        <w:t>:</w:t>
      </w:r>
    </w:p>
    <w:p w14:paraId="2249CBA7" w14:textId="77777777" w:rsidR="00DB03B0" w:rsidRDefault="00DB03B0" w:rsidP="008B525B">
      <w:pPr>
        <w:pStyle w:val="NoSpacing"/>
        <w:tabs>
          <w:tab w:val="left" w:pos="9923"/>
        </w:tabs>
        <w:rPr>
          <w:rFonts w:cs="Arial"/>
          <w:b/>
          <w:sz w:val="24"/>
          <w:szCs w:val="24"/>
          <w:lang w:val="en-CA"/>
        </w:rPr>
      </w:pPr>
    </w:p>
    <w:p w14:paraId="04167853" w14:textId="17C606B3" w:rsidR="008B525B" w:rsidRPr="00DB03B0" w:rsidRDefault="00DB03B0" w:rsidP="00DB03B0">
      <w:pPr>
        <w:pStyle w:val="NoSpacing"/>
        <w:tabs>
          <w:tab w:val="left" w:pos="9923"/>
        </w:tabs>
        <w:ind w:left="720"/>
        <w:rPr>
          <w:rFonts w:cs="Arial"/>
          <w:b/>
          <w:sz w:val="24"/>
          <w:szCs w:val="24"/>
          <w:lang w:val="en-CA"/>
        </w:rPr>
      </w:pPr>
      <w:r>
        <w:rPr>
          <w:rFonts w:cs="Arial"/>
          <w:b/>
          <w:sz w:val="24"/>
          <w:szCs w:val="24"/>
          <w:lang w:val="en-CA"/>
        </w:rPr>
        <w:t>That all</w:t>
      </w:r>
      <w:r w:rsidR="008B525B" w:rsidRPr="00DB03B0">
        <w:rPr>
          <w:rFonts w:cs="Arial"/>
          <w:b/>
          <w:sz w:val="24"/>
          <w:szCs w:val="24"/>
          <w:lang w:val="en-CA"/>
        </w:rPr>
        <w:t xml:space="preserve"> these reforms be followed by an intensive and mandatory training on domestic violence for all criminal and family court personnel, such as lawyers, crown</w:t>
      </w:r>
      <w:r w:rsidR="009357E6">
        <w:rPr>
          <w:rFonts w:cs="Arial"/>
          <w:b/>
          <w:sz w:val="24"/>
          <w:szCs w:val="24"/>
          <w:lang w:val="en-CA"/>
        </w:rPr>
        <w:t xml:space="preserve"> prosecutors</w:t>
      </w:r>
      <w:r w:rsidR="008B525B" w:rsidRPr="00DB03B0">
        <w:rPr>
          <w:rFonts w:cs="Arial"/>
          <w:b/>
          <w:sz w:val="24"/>
          <w:szCs w:val="24"/>
          <w:lang w:val="en-CA"/>
        </w:rPr>
        <w:t>, judges</w:t>
      </w:r>
      <w:r w:rsidR="009357E6">
        <w:rPr>
          <w:rFonts w:cs="Arial"/>
          <w:b/>
          <w:sz w:val="24"/>
          <w:szCs w:val="24"/>
          <w:lang w:val="en-CA"/>
        </w:rPr>
        <w:t xml:space="preserve"> and police</w:t>
      </w:r>
      <w:r w:rsidR="008B525B" w:rsidRPr="00DB03B0">
        <w:rPr>
          <w:rFonts w:cs="Arial"/>
          <w:b/>
          <w:sz w:val="24"/>
          <w:szCs w:val="24"/>
          <w:lang w:val="en-CA"/>
        </w:rPr>
        <w:t>.</w:t>
      </w:r>
    </w:p>
    <w:p w14:paraId="6D12B389" w14:textId="77777777" w:rsidR="008B525B" w:rsidRPr="00190AE2" w:rsidRDefault="008B525B" w:rsidP="008B525B">
      <w:pPr>
        <w:pStyle w:val="NoSpacing"/>
        <w:tabs>
          <w:tab w:val="left" w:pos="9923"/>
        </w:tabs>
        <w:ind w:left="1701"/>
        <w:rPr>
          <w:rFonts w:cs="Arial"/>
          <w:sz w:val="24"/>
          <w:szCs w:val="24"/>
          <w:lang w:val="en-CA"/>
        </w:rPr>
      </w:pPr>
    </w:p>
    <w:p w14:paraId="017E6F22" w14:textId="77777777" w:rsidR="008B525B" w:rsidRPr="00190AE2" w:rsidRDefault="008B525B" w:rsidP="008B525B">
      <w:pPr>
        <w:tabs>
          <w:tab w:val="left" w:pos="9923"/>
        </w:tabs>
        <w:ind w:left="1701"/>
        <w:rPr>
          <w:rFonts w:cs="Arial"/>
          <w:lang w:val="en-CA"/>
        </w:rPr>
      </w:pPr>
    </w:p>
    <w:p w14:paraId="6A7A0F3D" w14:textId="77777777" w:rsidR="008B525B" w:rsidRPr="00190AE2" w:rsidRDefault="008B525B">
      <w:pPr>
        <w:rPr>
          <w:rFonts w:cs="Times New Roman"/>
          <w:lang w:val="en-CA"/>
        </w:rPr>
      </w:pPr>
    </w:p>
    <w:p w14:paraId="67A79796" w14:textId="77777777" w:rsidR="001B434B" w:rsidRPr="0082107A" w:rsidRDefault="001B434B" w:rsidP="00DB03B0">
      <w:pPr>
        <w:pStyle w:val="ListParagraph"/>
        <w:numPr>
          <w:ilvl w:val="0"/>
          <w:numId w:val="30"/>
        </w:numPr>
        <w:rPr>
          <w:rFonts w:cs="Times New Roman"/>
          <w:b/>
          <w:u w:val="single"/>
        </w:rPr>
      </w:pPr>
      <w:r w:rsidRPr="0082107A">
        <w:rPr>
          <w:rFonts w:cs="Times New Roman"/>
          <w:b/>
          <w:u w:val="single"/>
        </w:rPr>
        <w:t>Sexual Assault</w:t>
      </w:r>
      <w:r w:rsidR="00DB03B0" w:rsidRPr="0082107A">
        <w:rPr>
          <w:rFonts w:cs="Times New Roman"/>
          <w:b/>
          <w:u w:val="single"/>
        </w:rPr>
        <w:t xml:space="preserve"> and Trafficking of women and girls</w:t>
      </w:r>
    </w:p>
    <w:p w14:paraId="236F4789" w14:textId="77777777" w:rsidR="00DB03B0" w:rsidRDefault="00DB03B0">
      <w:pPr>
        <w:rPr>
          <w:rFonts w:cs="Times New Roman"/>
        </w:rPr>
      </w:pPr>
    </w:p>
    <w:p w14:paraId="7F1817C6" w14:textId="77777777" w:rsidR="0082107A" w:rsidRPr="0082107A" w:rsidRDefault="0082107A">
      <w:pPr>
        <w:rPr>
          <w:rFonts w:cs="Times New Roman"/>
          <w:b/>
        </w:rPr>
      </w:pPr>
      <w:r w:rsidRPr="0082107A">
        <w:rPr>
          <w:rFonts w:cs="Times New Roman"/>
          <w:b/>
        </w:rPr>
        <w:t>Sexual Assault</w:t>
      </w:r>
      <w:r>
        <w:rPr>
          <w:rFonts w:cs="Times New Roman"/>
          <w:b/>
        </w:rPr>
        <w:t xml:space="preserve"> of women and girls</w:t>
      </w:r>
    </w:p>
    <w:p w14:paraId="5A55124C" w14:textId="77777777" w:rsidR="0082107A" w:rsidRDefault="0082107A">
      <w:pPr>
        <w:rPr>
          <w:rFonts w:cs="Times New Roman"/>
        </w:rPr>
      </w:pPr>
    </w:p>
    <w:p w14:paraId="0CABC1C2" w14:textId="7461BA7D" w:rsidR="00B039E0" w:rsidRPr="00190AE2" w:rsidRDefault="00F52978">
      <w:pPr>
        <w:rPr>
          <w:rFonts w:cs="Times New Roman"/>
        </w:rPr>
      </w:pPr>
      <w:r w:rsidRPr="00190AE2">
        <w:rPr>
          <w:rFonts w:cs="Times New Roman"/>
        </w:rPr>
        <w:t xml:space="preserve">Canada’s rate of sexual assault remains high, despite more than forty years </w:t>
      </w:r>
      <w:r w:rsidR="009357E6">
        <w:rPr>
          <w:rFonts w:cs="Times New Roman"/>
        </w:rPr>
        <w:t>of</w:t>
      </w:r>
      <w:r w:rsidRPr="00190AE2">
        <w:rPr>
          <w:rFonts w:cs="Times New Roman"/>
        </w:rPr>
        <w:t xml:space="preserve"> progressive law reform and increased social awareness. According to the 2014 General Social Survey, there were approximately 636,000 self-reported incidents of sexual assault over a twelve-month period.</w:t>
      </w:r>
      <w:r w:rsidRPr="00190AE2">
        <w:rPr>
          <w:rStyle w:val="FootnoteReference"/>
          <w:rFonts w:cs="Times New Roman"/>
        </w:rPr>
        <w:footnoteReference w:id="8"/>
      </w:r>
      <w:r w:rsidRPr="00190AE2">
        <w:rPr>
          <w:rFonts w:cs="Times New Roman"/>
        </w:rPr>
        <w:t xml:space="preserve"> Unlike </w:t>
      </w:r>
      <w:r w:rsidR="00B32F6D" w:rsidRPr="00190AE2">
        <w:rPr>
          <w:rFonts w:cs="Times New Roman"/>
        </w:rPr>
        <w:t xml:space="preserve">the rate of </w:t>
      </w:r>
      <w:r w:rsidRPr="00190AE2">
        <w:rPr>
          <w:rFonts w:cs="Times New Roman"/>
        </w:rPr>
        <w:t>other viole</w:t>
      </w:r>
      <w:r w:rsidR="00B32F6D" w:rsidRPr="00190AE2">
        <w:rPr>
          <w:rFonts w:cs="Times New Roman"/>
        </w:rPr>
        <w:t>nt crimes, which have been decreasing,</w:t>
      </w:r>
      <w:r w:rsidR="003027F6" w:rsidRPr="00190AE2">
        <w:rPr>
          <w:rFonts w:cs="Times New Roman"/>
        </w:rPr>
        <w:t xml:space="preserve"> the rate</w:t>
      </w:r>
      <w:r w:rsidRPr="00190AE2">
        <w:rPr>
          <w:rFonts w:cs="Times New Roman"/>
        </w:rPr>
        <w:t xml:space="preserve"> of sexua</w:t>
      </w:r>
      <w:r w:rsidR="00B32F6D" w:rsidRPr="00190AE2">
        <w:rPr>
          <w:rFonts w:cs="Times New Roman"/>
        </w:rPr>
        <w:t>l assault remains unchanged since</w:t>
      </w:r>
      <w:r w:rsidRPr="00190AE2">
        <w:rPr>
          <w:rFonts w:cs="Times New Roman"/>
        </w:rPr>
        <w:t xml:space="preserve"> 2004, reflecting the inaction of the Harper Conservative government on violence against women. </w:t>
      </w:r>
      <w:r w:rsidR="00B32F6D" w:rsidRPr="00190AE2">
        <w:rPr>
          <w:rFonts w:cs="Times New Roman"/>
        </w:rPr>
        <w:t>Because of the pervasiveness of sexual violence in women’s lives, women are now more likely than men to be victims of violent crime in Canada. Some group</w:t>
      </w:r>
      <w:r w:rsidR="00D52B89" w:rsidRPr="00190AE2">
        <w:rPr>
          <w:rFonts w:cs="Times New Roman"/>
        </w:rPr>
        <w:t>s</w:t>
      </w:r>
      <w:r w:rsidR="00B32F6D" w:rsidRPr="00190AE2">
        <w:rPr>
          <w:rFonts w:cs="Times New Roman"/>
        </w:rPr>
        <w:t xml:space="preserve"> of women, including Indigenous women, young women, LGBTQ2S</w:t>
      </w:r>
      <w:r w:rsidR="00551BC3">
        <w:rPr>
          <w:rFonts w:cs="Times New Roman"/>
        </w:rPr>
        <w:t>+</w:t>
      </w:r>
      <w:r w:rsidR="00B32F6D" w:rsidRPr="00190AE2">
        <w:rPr>
          <w:rFonts w:cs="Times New Roman"/>
        </w:rPr>
        <w:t xml:space="preserve"> women, and women with mental health issues, are especially vulnerable to sexual violence.</w:t>
      </w:r>
      <w:r w:rsidR="00B32F6D" w:rsidRPr="00190AE2">
        <w:rPr>
          <w:rStyle w:val="FootnoteReference"/>
          <w:rFonts w:cs="Times New Roman"/>
        </w:rPr>
        <w:footnoteReference w:id="9"/>
      </w:r>
      <w:r w:rsidR="00B32F6D" w:rsidRPr="00190AE2">
        <w:rPr>
          <w:rFonts w:cs="Times New Roman"/>
        </w:rPr>
        <w:t xml:space="preserve"> The 2014 General Social Survey contains a shocking statistic. More than one in five Indigenous </w:t>
      </w:r>
      <w:r w:rsidR="009357E6">
        <w:rPr>
          <w:rFonts w:cs="Times New Roman"/>
        </w:rPr>
        <w:t xml:space="preserve">women </w:t>
      </w:r>
      <w:r w:rsidR="00B32F6D" w:rsidRPr="00190AE2">
        <w:rPr>
          <w:rFonts w:cs="Times New Roman"/>
        </w:rPr>
        <w:t>between the ages of 15 and 24 will be sexually assaulted in a single year.</w:t>
      </w:r>
      <w:r w:rsidR="00B32F6D" w:rsidRPr="00190AE2">
        <w:rPr>
          <w:rStyle w:val="FootnoteReference"/>
          <w:rFonts w:cs="Times New Roman"/>
        </w:rPr>
        <w:footnoteReference w:id="10"/>
      </w:r>
      <w:r w:rsidR="00B32F6D" w:rsidRPr="00190AE2">
        <w:rPr>
          <w:rFonts w:cs="Times New Roman"/>
        </w:rPr>
        <w:t xml:space="preserve"> The targeting of Indigenous women is rooted in gendered colonization.</w:t>
      </w:r>
    </w:p>
    <w:p w14:paraId="3434E247" w14:textId="77777777" w:rsidR="0020729E" w:rsidRPr="00190AE2" w:rsidRDefault="0020729E">
      <w:pPr>
        <w:rPr>
          <w:rFonts w:cs="Times New Roman"/>
        </w:rPr>
      </w:pPr>
    </w:p>
    <w:p w14:paraId="6BD99D79" w14:textId="77777777" w:rsidR="00955476" w:rsidRPr="00190AE2" w:rsidRDefault="00705532" w:rsidP="00955476">
      <w:pPr>
        <w:rPr>
          <w:rFonts w:cs="Times New Roman"/>
        </w:rPr>
      </w:pPr>
      <w:r w:rsidRPr="00190AE2">
        <w:rPr>
          <w:rFonts w:cs="Times New Roman"/>
        </w:rPr>
        <w:t>Enormous feminist activism and energy has been invested in recent decades in reforming sexual assault laws so they better recognize women’s experience of sexual violence and the circumstances in which it occurs. Substantive legal elements, evidentiary rules and the treatment of complainants in the criminal justice process have all been extensively critiqued and reformed. Despite the success of Canadian feminist law reform and litigation in forging one of the strongest legal frameworks in the world, statistical research shows the persistence</w:t>
      </w:r>
      <w:r w:rsidR="009357E6">
        <w:rPr>
          <w:rFonts w:cs="Times New Roman"/>
        </w:rPr>
        <w:t xml:space="preserve"> of</w:t>
      </w:r>
      <w:r w:rsidRPr="00190AE2">
        <w:rPr>
          <w:rFonts w:cs="Times New Roman"/>
        </w:rPr>
        <w:t xml:space="preserve"> low police reporting rates</w:t>
      </w:r>
      <w:r w:rsidR="00470657" w:rsidRPr="00190AE2">
        <w:rPr>
          <w:rFonts w:cs="Times New Roman"/>
        </w:rPr>
        <w:t xml:space="preserve"> (5%)</w:t>
      </w:r>
      <w:r w:rsidR="003027F6" w:rsidRPr="00190AE2">
        <w:rPr>
          <w:rFonts w:cs="Times New Roman"/>
        </w:rPr>
        <w:t>,</w:t>
      </w:r>
      <w:r w:rsidR="003027F6" w:rsidRPr="00190AE2">
        <w:rPr>
          <w:rStyle w:val="FootnoteReference"/>
          <w:rFonts w:cs="Times New Roman"/>
        </w:rPr>
        <w:footnoteReference w:id="11"/>
      </w:r>
      <w:r w:rsidRPr="00190AE2">
        <w:rPr>
          <w:rFonts w:cs="Times New Roman"/>
        </w:rPr>
        <w:t xml:space="preserve"> high rates of police </w:t>
      </w:r>
      <w:proofErr w:type="spellStart"/>
      <w:r w:rsidR="00470657" w:rsidRPr="00190AE2">
        <w:rPr>
          <w:rFonts w:cs="Times New Roman"/>
        </w:rPr>
        <w:t>unfounding</w:t>
      </w:r>
      <w:proofErr w:type="spellEnd"/>
      <w:r w:rsidR="00470657" w:rsidRPr="00190AE2">
        <w:rPr>
          <w:rFonts w:cs="Times New Roman"/>
        </w:rPr>
        <w:t xml:space="preserve"> (20%)</w:t>
      </w:r>
      <w:r w:rsidR="003027F6" w:rsidRPr="00190AE2">
        <w:rPr>
          <w:rStyle w:val="FootnoteReference"/>
          <w:rFonts w:cs="Times New Roman"/>
        </w:rPr>
        <w:footnoteReference w:id="12"/>
      </w:r>
      <w:r w:rsidR="00470657" w:rsidRPr="00190AE2">
        <w:rPr>
          <w:rFonts w:cs="Times New Roman"/>
        </w:rPr>
        <w:t xml:space="preserve"> </w:t>
      </w:r>
      <w:r w:rsidRPr="00190AE2">
        <w:rPr>
          <w:rFonts w:cs="Times New Roman"/>
        </w:rPr>
        <w:t>and astronomical attrition rates. Despite the often-repeated claim that the pendulum has shifted too far towards complainants, the practice of “whacking the complainant” persists in the day-to-day practice of sexual assault law.</w:t>
      </w:r>
      <w:r w:rsidR="00D52B89" w:rsidRPr="00190AE2">
        <w:rPr>
          <w:rStyle w:val="FootnoteReference"/>
          <w:rFonts w:cs="Times New Roman"/>
        </w:rPr>
        <w:footnoteReference w:id="13"/>
      </w:r>
      <w:r w:rsidRPr="00190AE2">
        <w:rPr>
          <w:rFonts w:cs="Times New Roman"/>
        </w:rPr>
        <w:t xml:space="preserve"> Indigenous women are singled out for the worst mistreatment. </w:t>
      </w:r>
      <w:r w:rsidR="0020729E" w:rsidRPr="00190AE2">
        <w:rPr>
          <w:rFonts w:cs="Times New Roman"/>
        </w:rPr>
        <w:t xml:space="preserve">In 2016, </w:t>
      </w:r>
      <w:r w:rsidR="0020729E" w:rsidRPr="00190AE2">
        <w:rPr>
          <w:rFonts w:cs="Times New Roman"/>
        </w:rPr>
        <w:lastRenderedPageBreak/>
        <w:t>the Canadian Judicial Council recommended the removal of former judge Robin Camp, who repeated</w:t>
      </w:r>
      <w:r w:rsidR="009357E6">
        <w:rPr>
          <w:rFonts w:cs="Times New Roman"/>
        </w:rPr>
        <w:t>ly</w:t>
      </w:r>
      <w:r w:rsidR="0020729E" w:rsidRPr="00190AE2">
        <w:rPr>
          <w:rFonts w:cs="Times New Roman"/>
        </w:rPr>
        <w:t xml:space="preserve"> called a young Indigenous complainant “the accused,” asking her why she just hadn’t </w:t>
      </w:r>
      <w:r w:rsidR="00955476" w:rsidRPr="00190AE2">
        <w:rPr>
          <w:rFonts w:cs="Times New Roman"/>
        </w:rPr>
        <w:t xml:space="preserve">just </w:t>
      </w:r>
      <w:r w:rsidR="0020729E" w:rsidRPr="00190AE2">
        <w:rPr>
          <w:rFonts w:cs="Times New Roman"/>
        </w:rPr>
        <w:t>kept her “knees together”</w:t>
      </w:r>
      <w:r w:rsidR="00955476" w:rsidRPr="00190AE2">
        <w:rPr>
          <w:rFonts w:cs="Times New Roman"/>
        </w:rPr>
        <w:t xml:space="preserve"> in order to prevent the accused from penetrating her.</w:t>
      </w:r>
      <w:r w:rsidR="00D52B89" w:rsidRPr="00190AE2">
        <w:rPr>
          <w:rStyle w:val="FootnoteReference"/>
          <w:rFonts w:cs="Times New Roman"/>
        </w:rPr>
        <w:footnoteReference w:id="14"/>
      </w:r>
      <w:r w:rsidR="00955476" w:rsidRPr="00190AE2">
        <w:rPr>
          <w:rFonts w:cs="Times New Roman"/>
        </w:rPr>
        <w:t xml:space="preserve"> </w:t>
      </w:r>
      <w:r w:rsidRPr="00190AE2">
        <w:rPr>
          <w:rFonts w:cs="Times New Roman"/>
        </w:rPr>
        <w:t>In 2015, in a preliminary inquiry in an aggravated sexual assault trial, the complainant, a homeless Cree woman,</w:t>
      </w:r>
      <w:r w:rsidR="00470657" w:rsidRPr="00190AE2">
        <w:rPr>
          <w:rFonts w:cs="Times New Roman"/>
        </w:rPr>
        <w:t xml:space="preserve"> was remanded into custody </w:t>
      </w:r>
      <w:r w:rsidRPr="00190AE2">
        <w:rPr>
          <w:rFonts w:cs="Times New Roman"/>
        </w:rPr>
        <w:t xml:space="preserve">on the basis she might be a “flight risk”. She was held in remand for five days, transported to </w:t>
      </w:r>
      <w:r w:rsidR="00D52B89" w:rsidRPr="00190AE2">
        <w:rPr>
          <w:rFonts w:cs="Times New Roman"/>
        </w:rPr>
        <w:t xml:space="preserve">and from the courtroom </w:t>
      </w:r>
      <w:r w:rsidRPr="00190AE2">
        <w:rPr>
          <w:rFonts w:cs="Times New Roman"/>
        </w:rPr>
        <w:t>with the accused, and forced to testify in shackles.</w:t>
      </w:r>
      <w:r w:rsidR="00D52B89" w:rsidRPr="00190AE2">
        <w:rPr>
          <w:rStyle w:val="FootnoteReference"/>
          <w:rFonts w:cs="Times New Roman"/>
        </w:rPr>
        <w:footnoteReference w:id="15"/>
      </w:r>
      <w:r w:rsidRPr="00190AE2">
        <w:rPr>
          <w:rFonts w:cs="Times New Roman"/>
        </w:rPr>
        <w:t xml:space="preserve"> The sexual ass</w:t>
      </w:r>
      <w:r w:rsidR="00D52B89" w:rsidRPr="00190AE2">
        <w:rPr>
          <w:rFonts w:cs="Times New Roman"/>
        </w:rPr>
        <w:t>ault justice gap is</w:t>
      </w:r>
      <w:r w:rsidRPr="00190AE2">
        <w:rPr>
          <w:rFonts w:cs="Times New Roman"/>
        </w:rPr>
        <w:t xml:space="preserve"> glaring</w:t>
      </w:r>
      <w:r w:rsidR="00D52B89" w:rsidRPr="00190AE2">
        <w:rPr>
          <w:rFonts w:cs="Times New Roman"/>
        </w:rPr>
        <w:t>ly wide for Indigenous women in Canada.</w:t>
      </w:r>
    </w:p>
    <w:p w14:paraId="167B2970" w14:textId="77777777" w:rsidR="00705532" w:rsidRPr="00190AE2" w:rsidRDefault="00705532" w:rsidP="00955476">
      <w:pPr>
        <w:rPr>
          <w:rFonts w:cs="Times New Roman"/>
        </w:rPr>
      </w:pPr>
    </w:p>
    <w:p w14:paraId="0DF1788B" w14:textId="77777777" w:rsidR="00DB03B0" w:rsidRDefault="00470657" w:rsidP="009A54F1">
      <w:pPr>
        <w:rPr>
          <w:rFonts w:cs="Times New Roman"/>
        </w:rPr>
      </w:pPr>
      <w:r w:rsidRPr="00190AE2">
        <w:rPr>
          <w:rFonts w:cs="Times New Roman"/>
        </w:rPr>
        <w:t xml:space="preserve">We support the proposed changes to the </w:t>
      </w:r>
      <w:r w:rsidRPr="00190AE2">
        <w:rPr>
          <w:rFonts w:cs="Times New Roman"/>
          <w:i/>
        </w:rPr>
        <w:t>Criminal Code</w:t>
      </w:r>
      <w:r w:rsidRPr="00190AE2">
        <w:rPr>
          <w:rFonts w:cs="Times New Roman"/>
        </w:rPr>
        <w:t xml:space="preserve"> in </w:t>
      </w:r>
      <w:r w:rsidRPr="00190AE2">
        <w:rPr>
          <w:rFonts w:cs="Times New Roman"/>
          <w:i/>
        </w:rPr>
        <w:t>Bill C-51</w:t>
      </w:r>
      <w:r w:rsidRPr="00190AE2">
        <w:rPr>
          <w:rFonts w:cs="Times New Roman"/>
        </w:rPr>
        <w:t>, currently before Parliament, but call on the federal government to clarify the legal standard for incapacity. Women who are intoxicated are often singled out for sexual a</w:t>
      </w:r>
      <w:r w:rsidR="009A54F1" w:rsidRPr="00190AE2">
        <w:rPr>
          <w:rFonts w:cs="Times New Roman"/>
        </w:rPr>
        <w:t xml:space="preserve">ssault and courts have wrongly tended to require evidence of unconsciousness or sleep before finding a complainant is incapable of consenting. </w:t>
      </w:r>
    </w:p>
    <w:p w14:paraId="03AA3196" w14:textId="77777777" w:rsidR="00DB03B0" w:rsidRDefault="00DB03B0" w:rsidP="00DB03B0">
      <w:pPr>
        <w:rPr>
          <w:rFonts w:cs="Times New Roman"/>
          <w:b/>
        </w:rPr>
      </w:pPr>
      <w:bookmarkStart w:id="2" w:name="_Hlk511902630"/>
    </w:p>
    <w:p w14:paraId="333CE6BD" w14:textId="77777777" w:rsidR="00DB03B0" w:rsidRPr="00190AE2" w:rsidRDefault="0082107A" w:rsidP="00DB03B0">
      <w:pPr>
        <w:rPr>
          <w:rFonts w:cs="Times New Roman"/>
          <w:b/>
        </w:rPr>
      </w:pPr>
      <w:r>
        <w:rPr>
          <w:rFonts w:cs="Times New Roman"/>
          <w:b/>
        </w:rPr>
        <w:t xml:space="preserve">VAW </w:t>
      </w:r>
      <w:r w:rsidR="00DB03B0" w:rsidRPr="00190AE2">
        <w:rPr>
          <w:rFonts w:cs="Times New Roman"/>
          <w:b/>
        </w:rPr>
        <w:t>Law Reform Recommendation #</w:t>
      </w:r>
      <w:r>
        <w:rPr>
          <w:rFonts w:cs="Times New Roman"/>
          <w:b/>
        </w:rPr>
        <w:t>7:</w:t>
      </w:r>
    </w:p>
    <w:bookmarkEnd w:id="2"/>
    <w:p w14:paraId="426CB0AF" w14:textId="77777777" w:rsidR="00DB03B0" w:rsidRDefault="00DB03B0" w:rsidP="009A54F1">
      <w:pPr>
        <w:rPr>
          <w:rFonts w:cs="Times New Roman"/>
        </w:rPr>
      </w:pPr>
    </w:p>
    <w:p w14:paraId="5EC3031D" w14:textId="77777777" w:rsidR="009A54F1" w:rsidRPr="00DB03B0" w:rsidRDefault="00DB03B0" w:rsidP="00DB03B0">
      <w:pPr>
        <w:ind w:left="360"/>
        <w:rPr>
          <w:rFonts w:cs="Times New Roman"/>
          <w:b/>
        </w:rPr>
      </w:pPr>
      <w:r w:rsidRPr="00DB03B0">
        <w:rPr>
          <w:rFonts w:cs="Times New Roman"/>
          <w:b/>
        </w:rPr>
        <w:t>That</w:t>
      </w:r>
      <w:r w:rsidR="001B434B" w:rsidRPr="00DB03B0">
        <w:rPr>
          <w:rFonts w:cs="Times New Roman"/>
          <w:b/>
        </w:rPr>
        <w:t xml:space="preserve"> the proposed s.</w:t>
      </w:r>
      <w:r w:rsidR="009A54F1" w:rsidRPr="00DB03B0">
        <w:rPr>
          <w:rFonts w:cs="Times New Roman"/>
          <w:b/>
        </w:rPr>
        <w:t xml:space="preserve"> 273.2(b) be amended to read that a person does not have the capacity to consent unless she: </w:t>
      </w:r>
    </w:p>
    <w:p w14:paraId="7A5B4BB2" w14:textId="77777777" w:rsidR="009A54F1" w:rsidRPr="00DB03B0" w:rsidRDefault="009A54F1" w:rsidP="009A54F1">
      <w:pPr>
        <w:pStyle w:val="ListParagraph"/>
        <w:numPr>
          <w:ilvl w:val="0"/>
          <w:numId w:val="1"/>
        </w:numPr>
        <w:rPr>
          <w:rFonts w:cs="Times New Roman"/>
          <w:b/>
        </w:rPr>
      </w:pPr>
      <w:r w:rsidRPr="00DB03B0">
        <w:rPr>
          <w:rFonts w:cs="Times New Roman"/>
          <w:b/>
        </w:rPr>
        <w:t xml:space="preserve">is capable of understanding the sexual nature of the act and the risks associated with that act, and </w:t>
      </w:r>
    </w:p>
    <w:p w14:paraId="1B73D58A" w14:textId="77777777" w:rsidR="009A54F1" w:rsidRPr="00DB03B0" w:rsidRDefault="009A54F1" w:rsidP="009A54F1">
      <w:pPr>
        <w:pStyle w:val="ListParagraph"/>
        <w:numPr>
          <w:ilvl w:val="0"/>
          <w:numId w:val="1"/>
        </w:numPr>
        <w:rPr>
          <w:rFonts w:cs="Times New Roman"/>
          <w:b/>
        </w:rPr>
      </w:pPr>
      <w:r w:rsidRPr="00DB03B0">
        <w:rPr>
          <w:rFonts w:cs="Times New Roman"/>
          <w:b/>
        </w:rPr>
        <w:t xml:space="preserve">is capable of realizing that he or she may choose to decline participation; and </w:t>
      </w:r>
    </w:p>
    <w:p w14:paraId="45D3DBEF" w14:textId="77777777" w:rsidR="009A54F1" w:rsidRPr="00DB03B0" w:rsidRDefault="009A54F1" w:rsidP="009A54F1">
      <w:pPr>
        <w:pStyle w:val="ListParagraph"/>
        <w:numPr>
          <w:ilvl w:val="0"/>
          <w:numId w:val="1"/>
        </w:numPr>
        <w:rPr>
          <w:rFonts w:cs="Times New Roman"/>
          <w:b/>
        </w:rPr>
      </w:pPr>
      <w:r w:rsidRPr="00DB03B0">
        <w:rPr>
          <w:rFonts w:cs="Times New Roman"/>
          <w:b/>
        </w:rPr>
        <w:t xml:space="preserve">is capable of communicating her voluntary agreement. </w:t>
      </w:r>
    </w:p>
    <w:p w14:paraId="6BA940A1" w14:textId="77777777" w:rsidR="00DB03B0" w:rsidRDefault="00DB03B0">
      <w:pPr>
        <w:rPr>
          <w:rFonts w:cs="Times New Roman"/>
        </w:rPr>
      </w:pPr>
    </w:p>
    <w:p w14:paraId="57215467" w14:textId="3275FB4C" w:rsidR="00DB03B0" w:rsidRDefault="009A54F1">
      <w:pPr>
        <w:rPr>
          <w:rFonts w:cs="Times New Roman"/>
        </w:rPr>
      </w:pPr>
      <w:r w:rsidRPr="00190AE2">
        <w:rPr>
          <w:rFonts w:cs="Times New Roman"/>
        </w:rPr>
        <w:t>The National Action Plan requires a coordinated federal-provincial-territorial response to the problem of the sexual assault justice gap. While the federal government has jurisdiction over criminal law, the administration of justice is a provincial responsibility. In order to address the sexual assault justice gap</w:t>
      </w:r>
      <w:r w:rsidR="00551BC3">
        <w:rPr>
          <w:rFonts w:cs="Times New Roman"/>
        </w:rPr>
        <w:t>, f</w:t>
      </w:r>
      <w:r w:rsidR="0079140A">
        <w:rPr>
          <w:rFonts w:cs="Times New Roman"/>
        </w:rPr>
        <w:t xml:space="preserve">ederal leadership is required to ensure consistent practices across jurisdictions that respect the human rights of women and girls who are survivors of sexual assault.  </w:t>
      </w:r>
    </w:p>
    <w:p w14:paraId="34AFCD42" w14:textId="643C48AA" w:rsidR="00DB03B0" w:rsidRDefault="00DB03B0">
      <w:pPr>
        <w:rPr>
          <w:rFonts w:cs="Times New Roman"/>
        </w:rPr>
      </w:pPr>
    </w:p>
    <w:p w14:paraId="57622EA6" w14:textId="77777777" w:rsidR="00DB03B0" w:rsidRPr="00190AE2" w:rsidRDefault="00601995" w:rsidP="00DB03B0">
      <w:pPr>
        <w:rPr>
          <w:rFonts w:cs="Times New Roman"/>
          <w:b/>
        </w:rPr>
      </w:pPr>
      <w:r>
        <w:rPr>
          <w:rFonts w:cs="Times New Roman"/>
          <w:b/>
        </w:rPr>
        <w:t xml:space="preserve">VAW </w:t>
      </w:r>
      <w:r w:rsidR="00DB03B0" w:rsidRPr="00190AE2">
        <w:rPr>
          <w:rFonts w:cs="Times New Roman"/>
          <w:b/>
        </w:rPr>
        <w:t>Law Reform Recommendation #</w:t>
      </w:r>
      <w:r w:rsidR="0082107A">
        <w:rPr>
          <w:rFonts w:cs="Times New Roman"/>
          <w:b/>
        </w:rPr>
        <w:t>8:</w:t>
      </w:r>
    </w:p>
    <w:p w14:paraId="6CA46FB1" w14:textId="77777777" w:rsidR="00DB03B0" w:rsidRDefault="00DB03B0">
      <w:pPr>
        <w:rPr>
          <w:rFonts w:cs="Times New Roman"/>
        </w:rPr>
      </w:pPr>
    </w:p>
    <w:p w14:paraId="7B5DCDE3" w14:textId="7B4109F8" w:rsidR="0020729E" w:rsidRPr="00601995" w:rsidRDefault="00DB03B0" w:rsidP="00DB03B0">
      <w:pPr>
        <w:ind w:left="360"/>
        <w:rPr>
          <w:rFonts w:cs="Times New Roman"/>
          <w:b/>
        </w:rPr>
      </w:pPr>
      <w:r w:rsidRPr="00601995">
        <w:rPr>
          <w:rFonts w:cs="Times New Roman"/>
          <w:b/>
        </w:rPr>
        <w:t xml:space="preserve">That the </w:t>
      </w:r>
      <w:r w:rsidR="009A54F1" w:rsidRPr="00601995">
        <w:rPr>
          <w:rFonts w:cs="Times New Roman"/>
          <w:b/>
        </w:rPr>
        <w:t>federal government exercise leadership and aggressively deploy the federal spending power to improve criminal justice responses to survivors, including:</w:t>
      </w:r>
    </w:p>
    <w:p w14:paraId="58B06F94" w14:textId="7036DD49" w:rsidR="009A54F1" w:rsidRPr="00601995" w:rsidRDefault="00242B68" w:rsidP="009A54F1">
      <w:pPr>
        <w:pStyle w:val="ListParagraph"/>
        <w:numPr>
          <w:ilvl w:val="0"/>
          <w:numId w:val="2"/>
        </w:numPr>
        <w:rPr>
          <w:rFonts w:cs="Times New Roman"/>
          <w:b/>
        </w:rPr>
      </w:pPr>
      <w:r>
        <w:rPr>
          <w:rFonts w:cs="Times New Roman"/>
          <w:b/>
        </w:rPr>
        <w:lastRenderedPageBreak/>
        <w:t>Given that i</w:t>
      </w:r>
      <w:r w:rsidR="009A54F1" w:rsidRPr="00601995">
        <w:rPr>
          <w:rFonts w:cs="Times New Roman"/>
          <w:b/>
        </w:rPr>
        <w:t>ndependen</w:t>
      </w:r>
      <w:r w:rsidR="00E45C9E" w:rsidRPr="00601995">
        <w:rPr>
          <w:rFonts w:cs="Times New Roman"/>
          <w:b/>
        </w:rPr>
        <w:t xml:space="preserve">t legal advice </w:t>
      </w:r>
      <w:r w:rsidR="009A54F1" w:rsidRPr="00601995">
        <w:rPr>
          <w:rFonts w:cs="Times New Roman"/>
          <w:b/>
        </w:rPr>
        <w:t xml:space="preserve">has been shown to </w:t>
      </w:r>
      <w:r w:rsidR="00E45C9E" w:rsidRPr="00601995">
        <w:rPr>
          <w:rFonts w:cs="Times New Roman"/>
          <w:b/>
        </w:rPr>
        <w:t>improve justice responses t</w:t>
      </w:r>
      <w:r w:rsidR="003027F6" w:rsidRPr="00601995">
        <w:rPr>
          <w:rFonts w:cs="Times New Roman"/>
          <w:b/>
        </w:rPr>
        <w:t xml:space="preserve">o sexual assault </w:t>
      </w:r>
      <w:proofErr w:type="gramStart"/>
      <w:r w:rsidR="003027F6" w:rsidRPr="00601995">
        <w:rPr>
          <w:rFonts w:cs="Times New Roman"/>
          <w:b/>
        </w:rPr>
        <w:t>complainants</w:t>
      </w:r>
      <w:r>
        <w:rPr>
          <w:rFonts w:cs="Times New Roman"/>
          <w:b/>
        </w:rPr>
        <w:t>, and</w:t>
      </w:r>
      <w:proofErr w:type="gramEnd"/>
      <w:r>
        <w:rPr>
          <w:rFonts w:cs="Times New Roman"/>
          <w:b/>
        </w:rPr>
        <w:t xml:space="preserve"> given that f</w:t>
      </w:r>
      <w:r w:rsidR="003027F6" w:rsidRPr="00601995">
        <w:rPr>
          <w:rFonts w:cs="Times New Roman"/>
          <w:b/>
        </w:rPr>
        <w:t>ederal-provincial c</w:t>
      </w:r>
      <w:r w:rsidR="00E45C9E" w:rsidRPr="00601995">
        <w:rPr>
          <w:rFonts w:cs="Times New Roman"/>
          <w:b/>
        </w:rPr>
        <w:t xml:space="preserve">ost-shared pilot projects providing independent legal advice for survivors are </w:t>
      </w:r>
      <w:r w:rsidR="003027F6" w:rsidRPr="00601995">
        <w:rPr>
          <w:rFonts w:cs="Times New Roman"/>
          <w:b/>
        </w:rPr>
        <w:t xml:space="preserve">now </w:t>
      </w:r>
      <w:r w:rsidR="00E45C9E" w:rsidRPr="00601995">
        <w:rPr>
          <w:rFonts w:cs="Times New Roman"/>
          <w:b/>
        </w:rPr>
        <w:t>in place some provinces, but not in others</w:t>
      </w:r>
      <w:r>
        <w:rPr>
          <w:rFonts w:cs="Times New Roman"/>
          <w:b/>
        </w:rPr>
        <w:t>, t</w:t>
      </w:r>
      <w:r w:rsidR="00E45C9E" w:rsidRPr="00601995">
        <w:rPr>
          <w:rFonts w:cs="Times New Roman"/>
          <w:b/>
        </w:rPr>
        <w:t xml:space="preserve">he federal government must ensure at least four hours of </w:t>
      </w:r>
      <w:r w:rsidR="003027F6" w:rsidRPr="00601995">
        <w:rPr>
          <w:rFonts w:cs="Times New Roman"/>
          <w:b/>
        </w:rPr>
        <w:t xml:space="preserve">legal aid is provided to </w:t>
      </w:r>
      <w:r w:rsidR="00E45C9E" w:rsidRPr="00601995">
        <w:rPr>
          <w:rFonts w:cs="Times New Roman"/>
          <w:b/>
        </w:rPr>
        <w:t xml:space="preserve">all </w:t>
      </w:r>
      <w:r w:rsidR="003027F6" w:rsidRPr="00601995">
        <w:rPr>
          <w:rFonts w:cs="Times New Roman"/>
          <w:b/>
        </w:rPr>
        <w:t xml:space="preserve">sexual assault </w:t>
      </w:r>
      <w:r w:rsidR="00E45C9E" w:rsidRPr="00601995">
        <w:rPr>
          <w:rFonts w:cs="Times New Roman"/>
          <w:b/>
        </w:rPr>
        <w:t>survivors in all provinces and territories.</w:t>
      </w:r>
    </w:p>
    <w:p w14:paraId="03B5732F" w14:textId="77777777" w:rsidR="00E45C9E" w:rsidRDefault="00E45C9E" w:rsidP="009A54F1">
      <w:pPr>
        <w:pStyle w:val="ListParagraph"/>
        <w:numPr>
          <w:ilvl w:val="0"/>
          <w:numId w:val="2"/>
        </w:numPr>
        <w:rPr>
          <w:rFonts w:cs="Times New Roman"/>
          <w:b/>
        </w:rPr>
      </w:pPr>
      <w:r w:rsidRPr="00601995">
        <w:rPr>
          <w:rFonts w:cs="Times New Roman"/>
          <w:b/>
        </w:rPr>
        <w:t xml:space="preserve">In collaboration with the provinces and territories, the federal government </w:t>
      </w:r>
      <w:r w:rsidR="003027F6" w:rsidRPr="00601995">
        <w:rPr>
          <w:rFonts w:cs="Times New Roman"/>
          <w:b/>
        </w:rPr>
        <w:t xml:space="preserve">must work to ensure that all police officers receive </w:t>
      </w:r>
      <w:r w:rsidR="00D52B89" w:rsidRPr="00601995">
        <w:rPr>
          <w:rFonts w:cs="Times New Roman"/>
          <w:b/>
        </w:rPr>
        <w:t xml:space="preserve">specialized </w:t>
      </w:r>
      <w:r w:rsidR="003027F6" w:rsidRPr="00601995">
        <w:rPr>
          <w:rFonts w:cs="Times New Roman"/>
          <w:b/>
        </w:rPr>
        <w:t>sexual assault training that includes awareness about rape myths and accurate information about the legal standard for consent. Federal funding must be made available for training of police.</w:t>
      </w:r>
    </w:p>
    <w:p w14:paraId="6310938F" w14:textId="65F3743E" w:rsidR="00242B68" w:rsidRPr="00601995" w:rsidRDefault="00242B68" w:rsidP="009A54F1">
      <w:pPr>
        <w:pStyle w:val="ListParagraph"/>
        <w:numPr>
          <w:ilvl w:val="0"/>
          <w:numId w:val="2"/>
        </w:numPr>
        <w:rPr>
          <w:rFonts w:cs="Times New Roman"/>
          <w:b/>
        </w:rPr>
      </w:pPr>
      <w:r>
        <w:rPr>
          <w:rFonts w:cs="Times New Roman"/>
          <w:b/>
        </w:rPr>
        <w:t>In collaboration with the provinces and territories, the federal government must work towards the creation of civilian oversight of police, as an important step in monitoring police response to sexual assault and sexual assault survivors</w:t>
      </w:r>
      <w:r w:rsidR="003D1231">
        <w:rPr>
          <w:rFonts w:cs="Times New Roman"/>
          <w:b/>
        </w:rPr>
        <w:t>.</w:t>
      </w:r>
    </w:p>
    <w:p w14:paraId="0DF9CBB7" w14:textId="03D43442" w:rsidR="003027F6" w:rsidRPr="00601995" w:rsidRDefault="003027F6" w:rsidP="003027F6">
      <w:pPr>
        <w:pStyle w:val="ListParagraph"/>
        <w:numPr>
          <w:ilvl w:val="0"/>
          <w:numId w:val="2"/>
        </w:numPr>
        <w:rPr>
          <w:rFonts w:cs="Times New Roman"/>
          <w:b/>
          <w:lang w:val="en-CA"/>
        </w:rPr>
      </w:pPr>
      <w:r w:rsidRPr="00601995">
        <w:rPr>
          <w:rFonts w:cs="Times New Roman"/>
          <w:b/>
        </w:rPr>
        <w:t xml:space="preserve">In collaboration with the provinces and territories, the federal government must work to ensure that all Crown Prosecutors who prosecute sexual assault receive specialized training. Each province and territory must include a sexual assault policy section in the Crown Prosecutors manual. </w:t>
      </w:r>
      <w:r w:rsidRPr="00601995">
        <w:rPr>
          <w:rFonts w:cs="Times New Roman"/>
          <w:b/>
          <w:lang w:val="en-CA"/>
        </w:rPr>
        <w:t xml:space="preserve">This section should include substantive directions to Crown Prosecutors responding to the specificities of addressing the treatment of sexual assault </w:t>
      </w:r>
      <w:r w:rsidR="00242B68" w:rsidRPr="00601995">
        <w:rPr>
          <w:rFonts w:cs="Times New Roman"/>
          <w:b/>
          <w:lang w:val="en-CA"/>
        </w:rPr>
        <w:t>complainants and</w:t>
      </w:r>
      <w:r w:rsidRPr="00601995">
        <w:rPr>
          <w:rFonts w:cs="Times New Roman"/>
          <w:b/>
          <w:lang w:val="en-CA"/>
        </w:rPr>
        <w:t xml:space="preserve"> compelling the protection of complainants’ equality and privacy rights. </w:t>
      </w:r>
    </w:p>
    <w:p w14:paraId="4308DB23" w14:textId="77777777" w:rsidR="00120EAE" w:rsidRPr="00190AE2" w:rsidRDefault="00120EAE" w:rsidP="00120EAE">
      <w:pPr>
        <w:ind w:left="360"/>
        <w:rPr>
          <w:rFonts w:cs="Times New Roman"/>
        </w:rPr>
      </w:pPr>
    </w:p>
    <w:p w14:paraId="1677934A" w14:textId="77777777" w:rsidR="005708D2" w:rsidRDefault="005708D2" w:rsidP="00695D58">
      <w:pPr>
        <w:rPr>
          <w:rFonts w:cs="Times New Roman"/>
          <w:b/>
        </w:rPr>
      </w:pPr>
    </w:p>
    <w:p w14:paraId="45CB9545" w14:textId="0DD09883" w:rsidR="00695D58" w:rsidRPr="0082107A" w:rsidRDefault="0082107A" w:rsidP="00695D58">
      <w:pPr>
        <w:rPr>
          <w:rFonts w:cs="Times New Roman"/>
          <w:b/>
        </w:rPr>
      </w:pPr>
      <w:r w:rsidRPr="0082107A">
        <w:rPr>
          <w:rFonts w:cs="Times New Roman"/>
          <w:b/>
        </w:rPr>
        <w:t xml:space="preserve">Trafficking of women and girls, especially Indigenous </w:t>
      </w:r>
      <w:r>
        <w:rPr>
          <w:rFonts w:cs="Times New Roman"/>
          <w:b/>
        </w:rPr>
        <w:t>w</w:t>
      </w:r>
      <w:r w:rsidRPr="0082107A">
        <w:rPr>
          <w:rFonts w:cs="Times New Roman"/>
          <w:b/>
        </w:rPr>
        <w:t>omen and girls</w:t>
      </w:r>
    </w:p>
    <w:p w14:paraId="2E2A63D1" w14:textId="77777777" w:rsidR="0082107A" w:rsidRPr="00190AE2" w:rsidRDefault="0082107A" w:rsidP="00695D58">
      <w:pPr>
        <w:rPr>
          <w:rFonts w:cs="Times New Roman"/>
        </w:rPr>
      </w:pPr>
    </w:p>
    <w:p w14:paraId="38D67C56" w14:textId="671BD5A7" w:rsidR="003D1231" w:rsidRPr="003D1231" w:rsidRDefault="003D1231" w:rsidP="003D1231">
      <w:pPr>
        <w:spacing w:after="200" w:line="276" w:lineRule="auto"/>
        <w:rPr>
          <w:rFonts w:cstheme="minorHAnsi"/>
        </w:rPr>
      </w:pPr>
      <w:r w:rsidRPr="003D1231">
        <w:rPr>
          <w:rFonts w:cstheme="minorHAnsi"/>
        </w:rPr>
        <w:t>Trafficking in women and girls, and particularly of Indigenous women and girls is a serious problem in Canada, and one that is made harder to tackle because of the lack of robust and disaggregated data on this issue.  Indigenous women and girls are overrepresented as victims of human trafficking in Canada. Indigenous women make up 4% of Canada’s population and some research reflects that they comprise up to 50% of trafficking victims in Canada, and that of these</w:t>
      </w:r>
      <w:r>
        <w:rPr>
          <w:rFonts w:cstheme="minorHAnsi"/>
        </w:rPr>
        <w:t>,</w:t>
      </w:r>
      <w:r w:rsidR="00920008" w:rsidDel="00920008">
        <w:rPr>
          <w:rStyle w:val="FootnoteReference"/>
          <w:rFonts w:cstheme="minorHAnsi"/>
        </w:rPr>
        <w:t xml:space="preserve"> </w:t>
      </w:r>
      <w:r w:rsidRPr="003D1231">
        <w:rPr>
          <w:rFonts w:cstheme="minorHAnsi"/>
        </w:rPr>
        <w:t>up to 25% may be under the age of 18.</w:t>
      </w:r>
      <w:r w:rsidR="00920008">
        <w:rPr>
          <w:rStyle w:val="FootnoteReference"/>
          <w:rFonts w:cstheme="minorHAnsi"/>
        </w:rPr>
        <w:footnoteReference w:id="16"/>
      </w:r>
    </w:p>
    <w:p w14:paraId="2B44040C" w14:textId="04A34B3D" w:rsidR="00601995" w:rsidRDefault="00DE4E5C" w:rsidP="00DE4E5C">
      <w:pPr>
        <w:spacing w:after="200" w:line="276" w:lineRule="auto"/>
        <w:rPr>
          <w:rFonts w:cstheme="minorHAnsi"/>
        </w:rPr>
      </w:pPr>
      <w:r w:rsidRPr="00190AE2">
        <w:rPr>
          <w:rFonts w:cstheme="minorHAnsi"/>
        </w:rPr>
        <w:t xml:space="preserve">In addition to Indigenous women, </w:t>
      </w:r>
      <w:r w:rsidR="00242B68">
        <w:rPr>
          <w:rFonts w:cstheme="minorHAnsi"/>
        </w:rPr>
        <w:t xml:space="preserve">Indigenous </w:t>
      </w:r>
      <w:r w:rsidRPr="00190AE2">
        <w:rPr>
          <w:rFonts w:cstheme="minorHAnsi"/>
        </w:rPr>
        <w:t>LGBTQ2S+ people also are vulnerable to being trafficked. Like Indigenous women, they face many vulnerabilities including precarious housing and employment</w:t>
      </w:r>
      <w:r w:rsidR="00242B68">
        <w:rPr>
          <w:rFonts w:cstheme="minorHAnsi"/>
        </w:rPr>
        <w:t xml:space="preserve"> and</w:t>
      </w:r>
      <w:r w:rsidRPr="00190AE2">
        <w:rPr>
          <w:rFonts w:cstheme="minorHAnsi"/>
        </w:rPr>
        <w:t xml:space="preserve"> lack of supports. However, they also face isolation from their families and communities.</w:t>
      </w:r>
      <w:r w:rsidR="0074583C">
        <w:rPr>
          <w:rStyle w:val="FootnoteReference"/>
          <w:rFonts w:cstheme="minorHAnsi"/>
        </w:rPr>
        <w:footnoteReference w:id="17"/>
      </w:r>
      <w:r w:rsidR="0074583C" w:rsidRPr="00190AE2">
        <w:rPr>
          <w:rFonts w:cstheme="minorHAnsi"/>
        </w:rPr>
        <w:t xml:space="preserve"> </w:t>
      </w:r>
      <w:r w:rsidRPr="00190AE2">
        <w:rPr>
          <w:rFonts w:cstheme="minorHAnsi"/>
        </w:rPr>
        <w:t>In Canada, there is an appalling lack of data o</w:t>
      </w:r>
      <w:r w:rsidR="00242B68">
        <w:rPr>
          <w:rFonts w:cstheme="minorHAnsi"/>
        </w:rPr>
        <w:t>n</w:t>
      </w:r>
      <w:r w:rsidRPr="00190AE2">
        <w:rPr>
          <w:rFonts w:cstheme="minorHAnsi"/>
        </w:rPr>
        <w:t xml:space="preserve"> trafficking victims</w:t>
      </w:r>
      <w:r w:rsidR="00242B68">
        <w:rPr>
          <w:rFonts w:cstheme="minorHAnsi"/>
        </w:rPr>
        <w:t>, e</w:t>
      </w:r>
      <w:r w:rsidRPr="00190AE2">
        <w:rPr>
          <w:rFonts w:cstheme="minorHAnsi"/>
        </w:rPr>
        <w:t xml:space="preserve">specially for </w:t>
      </w:r>
      <w:r w:rsidRPr="00190AE2">
        <w:rPr>
          <w:rFonts w:cstheme="minorHAnsi"/>
        </w:rPr>
        <w:lastRenderedPageBreak/>
        <w:t>the three distinct Indigenous groups: First Nations, Metis and Inuit. Women and LGBTQ2S+ people in these groups are significantly different</w:t>
      </w:r>
      <w:r w:rsidR="00242B68">
        <w:rPr>
          <w:rFonts w:cstheme="minorHAnsi"/>
        </w:rPr>
        <w:t>ly situated</w:t>
      </w:r>
      <w:r w:rsidRPr="00190AE2">
        <w:rPr>
          <w:rFonts w:cstheme="minorHAnsi"/>
        </w:rPr>
        <w:t xml:space="preserve"> from one another. Data that classifies them as one group</w:t>
      </w:r>
      <w:r w:rsidR="0079140A" w:rsidRPr="00190AE2" w:rsidDel="0079140A">
        <w:rPr>
          <w:rFonts w:cstheme="minorHAnsi"/>
        </w:rPr>
        <w:t xml:space="preserve"> </w:t>
      </w:r>
      <w:r w:rsidRPr="00190AE2">
        <w:rPr>
          <w:rFonts w:cstheme="minorHAnsi"/>
        </w:rPr>
        <w:t xml:space="preserve">misrepresents them. </w:t>
      </w:r>
    </w:p>
    <w:p w14:paraId="6B5BFFE5" w14:textId="77777777" w:rsidR="00601995" w:rsidRPr="00601995" w:rsidRDefault="00614B0F" w:rsidP="00601995">
      <w:pPr>
        <w:spacing w:after="200" w:line="276" w:lineRule="auto"/>
        <w:rPr>
          <w:rFonts w:cstheme="minorHAnsi"/>
          <w:b/>
        </w:rPr>
      </w:pPr>
      <w:r>
        <w:rPr>
          <w:rFonts w:cstheme="minorHAnsi"/>
          <w:b/>
        </w:rPr>
        <w:t xml:space="preserve">VAW </w:t>
      </w:r>
      <w:r w:rsidR="00601995" w:rsidRPr="00601995">
        <w:rPr>
          <w:rFonts w:cstheme="minorHAnsi"/>
          <w:b/>
        </w:rPr>
        <w:t>Law Reform Recommendation #</w:t>
      </w:r>
      <w:r>
        <w:rPr>
          <w:rFonts w:cstheme="minorHAnsi"/>
          <w:b/>
        </w:rPr>
        <w:t>9:</w:t>
      </w:r>
    </w:p>
    <w:p w14:paraId="4374F598" w14:textId="1C507196" w:rsidR="00601995" w:rsidRDefault="00601995" w:rsidP="0082107A">
      <w:pPr>
        <w:spacing w:after="200" w:line="276" w:lineRule="auto"/>
        <w:ind w:left="720"/>
        <w:rPr>
          <w:rFonts w:cstheme="minorHAnsi"/>
        </w:rPr>
      </w:pPr>
      <w:r>
        <w:rPr>
          <w:rFonts w:cstheme="minorHAnsi"/>
          <w:b/>
        </w:rPr>
        <w:t>T</w:t>
      </w:r>
      <w:r w:rsidRPr="00190AE2">
        <w:rPr>
          <w:rFonts w:cstheme="minorHAnsi"/>
          <w:b/>
        </w:rPr>
        <w:t xml:space="preserve">hat there be an </w:t>
      </w:r>
      <w:r w:rsidRPr="00190AE2">
        <w:rPr>
          <w:b/>
        </w:rPr>
        <w:t xml:space="preserve">increase in culturally specific research focused on Indigenous women and </w:t>
      </w:r>
      <w:r w:rsidR="00242B68">
        <w:rPr>
          <w:b/>
        </w:rPr>
        <w:t xml:space="preserve">Indigenous </w:t>
      </w:r>
      <w:r w:rsidRPr="00190AE2">
        <w:rPr>
          <w:b/>
        </w:rPr>
        <w:t>LGBTQ2S+ people in Canada’s domestic trafficking. To en</w:t>
      </w:r>
      <w:r w:rsidR="007C4F88">
        <w:rPr>
          <w:b/>
        </w:rPr>
        <w:t>s</w:t>
      </w:r>
      <w:r w:rsidRPr="00190AE2">
        <w:rPr>
          <w:b/>
        </w:rPr>
        <w:t xml:space="preserve">ure that the research is culturally specific, the research should address the varied needs of all Inuit, Métis, and First Nation women and LGBTQ2S+ people, and that disaggregated and distinction-based data </w:t>
      </w:r>
      <w:r w:rsidR="00242B68">
        <w:rPr>
          <w:b/>
        </w:rPr>
        <w:t xml:space="preserve">should be </w:t>
      </w:r>
      <w:r w:rsidRPr="00190AE2">
        <w:rPr>
          <w:b/>
        </w:rPr>
        <w:t>gathered and better shared a</w:t>
      </w:r>
      <w:r w:rsidRPr="00190AE2">
        <w:rPr>
          <w:rFonts w:cstheme="minorHAnsi"/>
          <w:b/>
        </w:rPr>
        <w:t>cross</w:t>
      </w:r>
      <w:r w:rsidR="00C33554">
        <w:rPr>
          <w:rFonts w:cstheme="minorHAnsi"/>
          <w:b/>
        </w:rPr>
        <w:t xml:space="preserve"> </w:t>
      </w:r>
      <w:r w:rsidRPr="00190AE2">
        <w:rPr>
          <w:rFonts w:cstheme="minorHAnsi"/>
          <w:b/>
        </w:rPr>
        <w:t>jurisdictions.</w:t>
      </w:r>
    </w:p>
    <w:p w14:paraId="78FE965E" w14:textId="41CEBC2E" w:rsidR="00601995" w:rsidRPr="00190AE2" w:rsidRDefault="00C33554" w:rsidP="005708D2">
      <w:pPr>
        <w:spacing w:after="200" w:line="276" w:lineRule="auto"/>
        <w:rPr>
          <w:rFonts w:cstheme="minorHAnsi"/>
        </w:rPr>
      </w:pPr>
      <w:r>
        <w:rPr>
          <w:rFonts w:cstheme="minorHAnsi"/>
        </w:rPr>
        <w:t>Indigenous w</w:t>
      </w:r>
      <w:r w:rsidR="00601995" w:rsidRPr="00190AE2">
        <w:rPr>
          <w:rFonts w:cstheme="minorHAnsi"/>
        </w:rPr>
        <w:t xml:space="preserve">omen and LGBTQ2S+ people impacted by human trafficking </w:t>
      </w:r>
      <w:r w:rsidR="00601995" w:rsidRPr="00601995">
        <w:rPr>
          <w:rFonts w:cstheme="minorHAnsi"/>
        </w:rPr>
        <w:t xml:space="preserve">need </w:t>
      </w:r>
      <w:r w:rsidR="00601995" w:rsidRPr="00190AE2">
        <w:rPr>
          <w:rFonts w:cstheme="minorHAnsi"/>
        </w:rPr>
        <w:t xml:space="preserve">to have stigma-free and equal access to culturally-appropriate programs and services. </w:t>
      </w:r>
      <w:r w:rsidR="00601995" w:rsidRPr="00190AE2">
        <w:t>Stigma and moral judgments create shame, and shame hinders them from accessing the legal system, healing resources and permanent, affordable housing.</w:t>
      </w:r>
      <w:r w:rsidR="00601995" w:rsidRPr="00601995">
        <w:rPr>
          <w:rFonts w:cstheme="minorHAnsi"/>
        </w:rPr>
        <w:t xml:space="preserve"> </w:t>
      </w:r>
      <w:r w:rsidR="00601995" w:rsidRPr="00190AE2">
        <w:rPr>
          <w:rFonts w:cstheme="minorHAnsi"/>
        </w:rPr>
        <w:t>When it comes to health services, Indigenous women and LGBTQ2S</w:t>
      </w:r>
      <w:r w:rsidR="007C4F88">
        <w:rPr>
          <w:rFonts w:cstheme="minorHAnsi"/>
        </w:rPr>
        <w:t>+</w:t>
      </w:r>
      <w:r w:rsidR="00601995" w:rsidRPr="00190AE2">
        <w:rPr>
          <w:rFonts w:cstheme="minorHAnsi"/>
        </w:rPr>
        <w:t xml:space="preserve"> people need barrier-free access to: reproductive health, trans care, mental health care, testing and treatment for </w:t>
      </w:r>
      <w:r w:rsidR="00242B68">
        <w:rPr>
          <w:rFonts w:cstheme="minorHAnsi"/>
        </w:rPr>
        <w:t>s</w:t>
      </w:r>
      <w:r w:rsidR="00601995" w:rsidRPr="00190AE2">
        <w:rPr>
          <w:rFonts w:cstheme="minorHAnsi"/>
        </w:rPr>
        <w:t xml:space="preserve">exually </w:t>
      </w:r>
      <w:r w:rsidR="00242B68">
        <w:rPr>
          <w:rFonts w:cstheme="minorHAnsi"/>
        </w:rPr>
        <w:t>t</w:t>
      </w:r>
      <w:r w:rsidR="00601995" w:rsidRPr="00190AE2">
        <w:rPr>
          <w:rFonts w:cstheme="minorHAnsi"/>
        </w:rPr>
        <w:t xml:space="preserve">ransmitted and </w:t>
      </w:r>
      <w:r w:rsidR="00242B68">
        <w:rPr>
          <w:rFonts w:cstheme="minorHAnsi"/>
        </w:rPr>
        <w:t>b</w:t>
      </w:r>
      <w:r w:rsidR="00601995" w:rsidRPr="00190AE2">
        <w:rPr>
          <w:rFonts w:cstheme="minorHAnsi"/>
        </w:rPr>
        <w:t xml:space="preserve">lood </w:t>
      </w:r>
      <w:r w:rsidR="00242B68">
        <w:rPr>
          <w:rFonts w:cstheme="minorHAnsi"/>
        </w:rPr>
        <w:t>b</w:t>
      </w:r>
      <w:r w:rsidR="00601995" w:rsidRPr="00190AE2">
        <w:rPr>
          <w:rFonts w:cstheme="minorHAnsi"/>
        </w:rPr>
        <w:t xml:space="preserve">orne Infections and HIV. They need access </w:t>
      </w:r>
      <w:r w:rsidR="00242B68">
        <w:rPr>
          <w:rFonts w:cstheme="minorHAnsi"/>
        </w:rPr>
        <w:t xml:space="preserve">to </w:t>
      </w:r>
      <w:r w:rsidR="00601995" w:rsidRPr="00190AE2">
        <w:rPr>
          <w:rFonts w:cstheme="minorHAnsi"/>
        </w:rPr>
        <w:t>basic medicine and drug treatment.</w:t>
      </w:r>
      <w:r w:rsidR="00601995">
        <w:rPr>
          <w:rFonts w:cstheme="minorHAnsi"/>
        </w:rPr>
        <w:t xml:space="preserve"> </w:t>
      </w:r>
      <w:r w:rsidR="00601995" w:rsidRPr="00190AE2">
        <w:rPr>
          <w:rFonts w:cstheme="minorHAnsi"/>
        </w:rPr>
        <w:t>To ensure that supports are responsive to the needs of trafficked Indigenous women and LGBTQ2S+ people, they need to be meaningfully and respectfully consulted. It is essential that their communities are also consulted. The outcomes of support services and exit strategies should be tracked clearly and co</w:t>
      </w:r>
      <w:r w:rsidR="008D392C">
        <w:rPr>
          <w:rFonts w:cstheme="minorHAnsi"/>
        </w:rPr>
        <w:t>mpre</w:t>
      </w:r>
      <w:r w:rsidR="00601995" w:rsidRPr="00190AE2">
        <w:rPr>
          <w:rFonts w:cstheme="minorHAnsi"/>
        </w:rPr>
        <w:t>he</w:t>
      </w:r>
      <w:r w:rsidR="008D392C">
        <w:rPr>
          <w:rFonts w:cstheme="minorHAnsi"/>
        </w:rPr>
        <w:t>n</w:t>
      </w:r>
      <w:r w:rsidR="00601995" w:rsidRPr="00190AE2">
        <w:rPr>
          <w:rFonts w:cstheme="minorHAnsi"/>
        </w:rPr>
        <w:t>sively. This would ensure that programs are effective and that necessary improvements can be made.</w:t>
      </w:r>
    </w:p>
    <w:p w14:paraId="59DB7F4B" w14:textId="77777777" w:rsidR="00DE4E5C" w:rsidRPr="00190AE2" w:rsidRDefault="00614B0F" w:rsidP="00DE4E5C">
      <w:pPr>
        <w:spacing w:after="200" w:line="276" w:lineRule="auto"/>
        <w:rPr>
          <w:rFonts w:cstheme="minorHAnsi"/>
          <w:b/>
        </w:rPr>
      </w:pPr>
      <w:r>
        <w:rPr>
          <w:rFonts w:cstheme="minorHAnsi"/>
          <w:b/>
        </w:rPr>
        <w:t xml:space="preserve">VAW </w:t>
      </w:r>
      <w:r w:rsidR="00DE4E5C" w:rsidRPr="00190AE2">
        <w:rPr>
          <w:rFonts w:cstheme="minorHAnsi"/>
          <w:b/>
        </w:rPr>
        <w:t>Law Reform Recommendation #</w:t>
      </w:r>
      <w:r>
        <w:rPr>
          <w:rFonts w:cstheme="minorHAnsi"/>
          <w:b/>
        </w:rPr>
        <w:t>10:</w:t>
      </w:r>
    </w:p>
    <w:p w14:paraId="54AF56DB" w14:textId="77777777" w:rsidR="00DE4E5C" w:rsidRDefault="00C33554" w:rsidP="00601995">
      <w:pPr>
        <w:spacing w:after="200" w:line="276" w:lineRule="auto"/>
        <w:ind w:left="720"/>
        <w:rPr>
          <w:b/>
        </w:rPr>
      </w:pPr>
      <w:r>
        <w:rPr>
          <w:rFonts w:cstheme="minorHAnsi"/>
          <w:b/>
        </w:rPr>
        <w:t>T</w:t>
      </w:r>
      <w:r w:rsidR="00DE4E5C" w:rsidRPr="00190AE2">
        <w:rPr>
          <w:rFonts w:cstheme="minorHAnsi"/>
          <w:b/>
        </w:rPr>
        <w:t>hat Canada i</w:t>
      </w:r>
      <w:r w:rsidR="00DE4E5C" w:rsidRPr="00190AE2">
        <w:rPr>
          <w:b/>
        </w:rPr>
        <w:t xml:space="preserve">ncrease funding for support services and exit strategies for </w:t>
      </w:r>
      <w:r w:rsidR="008D392C">
        <w:rPr>
          <w:b/>
        </w:rPr>
        <w:t xml:space="preserve">trafficked </w:t>
      </w:r>
      <w:r w:rsidR="00DE4E5C" w:rsidRPr="00190AE2">
        <w:rPr>
          <w:b/>
        </w:rPr>
        <w:t xml:space="preserve">women and </w:t>
      </w:r>
      <w:r w:rsidR="00DE4E5C" w:rsidRPr="00190AE2">
        <w:rPr>
          <w:rFonts w:cstheme="minorHAnsi"/>
          <w:b/>
        </w:rPr>
        <w:t>LGBTQ2S</w:t>
      </w:r>
      <w:r w:rsidR="00DE4E5C" w:rsidRPr="00190AE2">
        <w:rPr>
          <w:b/>
        </w:rPr>
        <w:t xml:space="preserve"> people. It is essential that these support services and exit strategies are </w:t>
      </w:r>
      <w:r w:rsidR="00DE4E5C" w:rsidRPr="00601995">
        <w:rPr>
          <w:b/>
        </w:rPr>
        <w:t>culturally-relevant, community-based and survivor-based.</w:t>
      </w:r>
    </w:p>
    <w:p w14:paraId="65A3FE00" w14:textId="323A92FB" w:rsidR="00601995" w:rsidRDefault="00601995" w:rsidP="003448E1">
      <w:pPr>
        <w:spacing w:after="200" w:line="276" w:lineRule="auto"/>
        <w:rPr>
          <w:b/>
        </w:rPr>
      </w:pPr>
    </w:p>
    <w:p w14:paraId="5F543C29" w14:textId="77777777" w:rsidR="00DE4E5C" w:rsidRPr="0082107A" w:rsidRDefault="00ED2EFA" w:rsidP="00601995">
      <w:pPr>
        <w:pStyle w:val="ListParagraph"/>
        <w:numPr>
          <w:ilvl w:val="0"/>
          <w:numId w:val="30"/>
        </w:numPr>
        <w:rPr>
          <w:rFonts w:cs="Times New Roman"/>
          <w:u w:val="single"/>
        </w:rPr>
      </w:pPr>
      <w:r w:rsidRPr="0082107A">
        <w:rPr>
          <w:b/>
          <w:u w:val="single"/>
        </w:rPr>
        <w:t xml:space="preserve">Violence and harassment against women </w:t>
      </w:r>
      <w:r w:rsidR="00601995" w:rsidRPr="0082107A">
        <w:rPr>
          <w:b/>
          <w:u w:val="single"/>
        </w:rPr>
        <w:t xml:space="preserve">and girls at </w:t>
      </w:r>
      <w:r w:rsidRPr="0082107A">
        <w:rPr>
          <w:b/>
          <w:u w:val="single"/>
        </w:rPr>
        <w:t>work</w:t>
      </w:r>
      <w:r w:rsidR="00601995" w:rsidRPr="0082107A">
        <w:rPr>
          <w:b/>
          <w:u w:val="single"/>
        </w:rPr>
        <w:t>, in schools/on campuses and that is facilitated by technology</w:t>
      </w:r>
    </w:p>
    <w:p w14:paraId="3D94DBE5" w14:textId="77777777" w:rsidR="00ED2EFA" w:rsidRDefault="00ED2EFA" w:rsidP="00DE4E5C">
      <w:pPr>
        <w:rPr>
          <w:rFonts w:cs="Times New Roman"/>
        </w:rPr>
      </w:pPr>
    </w:p>
    <w:p w14:paraId="12C4A25B" w14:textId="77777777" w:rsidR="0082107A" w:rsidRDefault="0082107A" w:rsidP="0082107A">
      <w:pPr>
        <w:rPr>
          <w:b/>
        </w:rPr>
      </w:pPr>
      <w:r>
        <w:rPr>
          <w:b/>
        </w:rPr>
        <w:t>V</w:t>
      </w:r>
      <w:r w:rsidRPr="00E57CA4">
        <w:rPr>
          <w:b/>
        </w:rPr>
        <w:t>iolence and harassment aga</w:t>
      </w:r>
      <w:r>
        <w:rPr>
          <w:b/>
        </w:rPr>
        <w:t>inst women in the world of work</w:t>
      </w:r>
    </w:p>
    <w:p w14:paraId="1C953F73" w14:textId="77777777" w:rsidR="0082107A" w:rsidRPr="00190AE2" w:rsidRDefault="0082107A" w:rsidP="0082107A">
      <w:pPr>
        <w:rPr>
          <w:rFonts w:cs="Times New Roman"/>
        </w:rPr>
      </w:pPr>
    </w:p>
    <w:p w14:paraId="24AFCFB5" w14:textId="39FE3F16" w:rsidR="00ED2EFA" w:rsidRPr="00190AE2" w:rsidRDefault="00ED2EFA" w:rsidP="00ED2EFA">
      <w:r w:rsidRPr="00190AE2">
        <w:t xml:space="preserve">Women experience a broad spectrum of violence and harassment in the world of work, yet the legislative framework to recognize and address this is inconsistent.  These issues may be addressed in health and safety, human rights, and </w:t>
      </w:r>
      <w:proofErr w:type="spellStart"/>
      <w:r w:rsidRPr="00190AE2">
        <w:t>labour</w:t>
      </w:r>
      <w:proofErr w:type="spellEnd"/>
      <w:r w:rsidRPr="00190AE2">
        <w:t xml:space="preserve"> legislation, employment standards or even stand-alone legislation on sexual harassment.  In Canada we have 13 different jurisdictions </w:t>
      </w:r>
      <w:r w:rsidRPr="00190AE2">
        <w:lastRenderedPageBreak/>
        <w:t xml:space="preserve">for employment legislation, each with its own unique approach, and some with very little or no language on harassment and violence at all.  </w:t>
      </w:r>
      <w:r w:rsidR="008D392C" w:rsidRPr="00190AE2">
        <w:t>So,</w:t>
      </w:r>
      <w:r w:rsidRPr="00190AE2">
        <w:t xml:space="preserve"> there are gaps and inconsistencies.  </w:t>
      </w:r>
    </w:p>
    <w:p w14:paraId="703F8EA0" w14:textId="15EA354A" w:rsidR="00695D58" w:rsidRDefault="00ED2EFA" w:rsidP="00ED2EFA">
      <w:r w:rsidRPr="00190AE2">
        <w:t xml:space="preserve">Depending on the jurisdiction, </w:t>
      </w:r>
      <w:r w:rsidR="008D392C">
        <w:t>o</w:t>
      </w:r>
      <w:r w:rsidRPr="00190AE2">
        <w:t xml:space="preserve">ccupational </w:t>
      </w:r>
      <w:r w:rsidR="008D392C">
        <w:t>h</w:t>
      </w:r>
      <w:r w:rsidRPr="00190AE2">
        <w:t xml:space="preserve">ealth and </w:t>
      </w:r>
      <w:r w:rsidR="008D392C">
        <w:t>s</w:t>
      </w:r>
      <w:r w:rsidRPr="00190AE2">
        <w:t xml:space="preserve">afety legislation and regulation on workplace violence may not include all forms of violence, such as psychological harassment and bullying or domestic violence when it impacts the workplace (a phenomenon that the </w:t>
      </w:r>
      <w:proofErr w:type="spellStart"/>
      <w:r w:rsidRPr="00190AE2">
        <w:t>labour</w:t>
      </w:r>
      <w:proofErr w:type="spellEnd"/>
      <w:r w:rsidRPr="00190AE2">
        <w:t xml:space="preserve"> movement in Canada has made a priority in recent years and where </w:t>
      </w:r>
      <w:r w:rsidR="003448E1">
        <w:t xml:space="preserve">there has been </w:t>
      </w:r>
      <w:r w:rsidRPr="00190AE2">
        <w:t xml:space="preserve">some law reform). It may not clearly address violence that comes from third parties (a major issue for health care workers, flight attendants, teachers or hotel and restaurant workers).  </w:t>
      </w:r>
      <w:r w:rsidR="008D392C">
        <w:t>Also, m</w:t>
      </w:r>
      <w:r w:rsidRPr="00190AE2">
        <w:t xml:space="preserve">uch health and safety legislation </w:t>
      </w:r>
      <w:proofErr w:type="gramStart"/>
      <w:r w:rsidRPr="00190AE2">
        <w:t>is</w:t>
      </w:r>
      <w:proofErr w:type="gramEnd"/>
      <w:r w:rsidRPr="00190AE2">
        <w:t xml:space="preserve"> framed around the reporting of incidents of violence, which makes it challenging to capture more diffuse forms of harassment like hostile workplaces, or the intersections of different forms of harassment for women with multiple and intersecting identities.  </w:t>
      </w:r>
      <w:r w:rsidR="008D392C">
        <w:t>Finally,</w:t>
      </w:r>
      <w:r w:rsidR="00EF2863">
        <w:t xml:space="preserve"> </w:t>
      </w:r>
      <w:proofErr w:type="gramStart"/>
      <w:r w:rsidR="00EF2863">
        <w:t xml:space="preserve">gender </w:t>
      </w:r>
      <w:r w:rsidR="008D392C">
        <w:t xml:space="preserve"> inequality</w:t>
      </w:r>
      <w:proofErr w:type="gramEnd"/>
      <w:r w:rsidR="008D392C">
        <w:t xml:space="preserve"> is a foundational issue when analyzing an</w:t>
      </w:r>
      <w:r w:rsidR="00454EB9">
        <w:t>d</w:t>
      </w:r>
      <w:r w:rsidR="008D392C">
        <w:t xml:space="preserve"> framing responses to violence, harassment and discrimination</w:t>
      </w:r>
      <w:r w:rsidR="00EF2863">
        <w:t xml:space="preserve"> experienced by different groups of women and girls.  </w:t>
      </w:r>
    </w:p>
    <w:p w14:paraId="702415F8" w14:textId="77777777" w:rsidR="0079140A" w:rsidRPr="00190AE2" w:rsidRDefault="0079140A" w:rsidP="00ED2EFA"/>
    <w:p w14:paraId="514F77FA" w14:textId="77777777" w:rsidR="00ED2EFA" w:rsidRPr="00190AE2" w:rsidRDefault="00ED2EFA" w:rsidP="00ED2EFA">
      <w:r w:rsidRPr="00190AE2">
        <w:t xml:space="preserve">Of particular concern is that </w:t>
      </w:r>
      <w:proofErr w:type="spellStart"/>
      <w:r w:rsidRPr="00190AE2">
        <w:t>labour</w:t>
      </w:r>
      <w:proofErr w:type="spellEnd"/>
      <w:r w:rsidRPr="00190AE2">
        <w:t xml:space="preserve"> and health and safety legislation does not always apply to all workers, including precarious and part-time workers, workers in the informal sector, migrant workers (including migrant domestic worker) – categories of worker where women are over-represented.</w:t>
      </w:r>
      <w:r w:rsidR="00695D58" w:rsidRPr="00190AE2">
        <w:t xml:space="preserve">  </w:t>
      </w:r>
      <w:r w:rsidRPr="00190AE2">
        <w:t xml:space="preserve">Similar gaps in international law and regulation have been observed in the discussions leading up to the standard-setting process currently underway at the International </w:t>
      </w:r>
      <w:proofErr w:type="spellStart"/>
      <w:r w:rsidRPr="00190AE2">
        <w:t>Labour</w:t>
      </w:r>
      <w:proofErr w:type="spellEnd"/>
      <w:r w:rsidRPr="00190AE2">
        <w:t xml:space="preserve"> Organization, on Violence against Women and Men in the World of Work – our hope is that Canada will play a leadership role in ensuring these discussions result in a strong Convention and Recommendation, and then proceed to ratification and implementation.</w:t>
      </w:r>
    </w:p>
    <w:p w14:paraId="70BA825E" w14:textId="77777777" w:rsidR="00ED2EFA" w:rsidRPr="00190AE2" w:rsidRDefault="00ED2EFA" w:rsidP="00ED2EFA">
      <w:r w:rsidRPr="00190AE2">
        <w:t xml:space="preserve">Much has been said about the recent </w:t>
      </w:r>
      <w:r w:rsidRPr="00BB0284">
        <w:rPr>
          <w:i/>
        </w:rPr>
        <w:t>Bill 65</w:t>
      </w:r>
      <w:r w:rsidRPr="00190AE2">
        <w:t>,</w:t>
      </w:r>
      <w:r w:rsidR="008D392C">
        <w:rPr>
          <w:rStyle w:val="FootnoteReference"/>
        </w:rPr>
        <w:footnoteReference w:id="18"/>
      </w:r>
      <w:r w:rsidRPr="00190AE2">
        <w:t xml:space="preserve"> which brings harassment and violence into part 2 of the </w:t>
      </w:r>
      <w:r w:rsidRPr="00BB0284">
        <w:rPr>
          <w:i/>
        </w:rPr>
        <w:t xml:space="preserve">Canada </w:t>
      </w:r>
      <w:proofErr w:type="spellStart"/>
      <w:r w:rsidRPr="00BB0284">
        <w:rPr>
          <w:i/>
        </w:rPr>
        <w:t>Labour</w:t>
      </w:r>
      <w:proofErr w:type="spellEnd"/>
      <w:r w:rsidRPr="00BB0284">
        <w:rPr>
          <w:i/>
        </w:rPr>
        <w:t xml:space="preserve"> Code</w:t>
      </w:r>
      <w:r w:rsidRPr="00190AE2">
        <w:t xml:space="preserve">, and also extends the provisions to include people working on Parliament Hill – especially interns.  There are many positive things about the Bill, but unfortunately also some serious deficiencies.  These include the absence of a clear definition of violence and harassment and the removal of joint workplace health and safety committees from participating in investigations.  Some of the issues can be resolved in the regulatory process – provided there is a robust tripartite process to develop them.  We would also like the government to ensure there are sufficient numbers of Health and Safety Officers with appropriate </w:t>
      </w:r>
      <w:r w:rsidR="008D392C">
        <w:t xml:space="preserve">expertise and </w:t>
      </w:r>
      <w:r w:rsidRPr="00190AE2">
        <w:t>experience and that they receive comprehensive training to meet the needs the Bill attempts to address.</w:t>
      </w:r>
      <w:r w:rsidR="006620DC">
        <w:t xml:space="preserve"> </w:t>
      </w:r>
    </w:p>
    <w:p w14:paraId="3E28341A" w14:textId="77777777" w:rsidR="0061283B" w:rsidRPr="00190AE2" w:rsidRDefault="0061283B" w:rsidP="00ED2EFA"/>
    <w:p w14:paraId="2763AF46" w14:textId="77777777" w:rsidR="0061283B" w:rsidRPr="00601995" w:rsidRDefault="00601995" w:rsidP="00ED2EFA">
      <w:pPr>
        <w:rPr>
          <w:b/>
        </w:rPr>
      </w:pPr>
      <w:r>
        <w:rPr>
          <w:b/>
        </w:rPr>
        <w:t xml:space="preserve">VAW </w:t>
      </w:r>
      <w:r w:rsidR="0061283B" w:rsidRPr="00601995">
        <w:rPr>
          <w:b/>
        </w:rPr>
        <w:t>Law Reform Recommendation #</w:t>
      </w:r>
      <w:r w:rsidR="00614B0F">
        <w:rPr>
          <w:b/>
        </w:rPr>
        <w:t>11</w:t>
      </w:r>
    </w:p>
    <w:p w14:paraId="3647E480" w14:textId="77777777" w:rsidR="0061283B" w:rsidRPr="00190AE2" w:rsidRDefault="0061283B" w:rsidP="00ED2EFA"/>
    <w:p w14:paraId="7F15D4B1" w14:textId="77777777" w:rsidR="00ED2EFA" w:rsidRPr="00190AE2" w:rsidRDefault="00601995" w:rsidP="00601995">
      <w:pPr>
        <w:pStyle w:val="PlainText"/>
        <w:ind w:left="720"/>
        <w:rPr>
          <w:rFonts w:asciiTheme="minorHAnsi" w:hAnsiTheme="minorHAnsi"/>
          <w:b/>
          <w:sz w:val="24"/>
        </w:rPr>
      </w:pPr>
      <w:r>
        <w:rPr>
          <w:rFonts w:asciiTheme="minorHAnsi" w:hAnsiTheme="minorHAnsi"/>
          <w:b/>
          <w:sz w:val="24"/>
        </w:rPr>
        <w:t xml:space="preserve">That </w:t>
      </w:r>
      <w:r w:rsidR="00B56284">
        <w:rPr>
          <w:rFonts w:asciiTheme="minorHAnsi" w:hAnsiTheme="minorHAnsi"/>
          <w:b/>
          <w:sz w:val="24"/>
        </w:rPr>
        <w:t xml:space="preserve">Canada </w:t>
      </w:r>
      <w:r w:rsidR="00ED2EFA" w:rsidRPr="00190AE2">
        <w:rPr>
          <w:rFonts w:asciiTheme="minorHAnsi" w:hAnsiTheme="minorHAnsi"/>
          <w:b/>
          <w:sz w:val="24"/>
        </w:rPr>
        <w:t xml:space="preserve">ensure that relevant labour legislation addresses the full spectrum of violence and harassment against women in the world of work and ensure consistency across jurisdictions, ensure that all women workers are covered, including nonstandard forms of work and migrant workers.  This </w:t>
      </w:r>
      <w:r w:rsidR="006F392A">
        <w:rPr>
          <w:rFonts w:asciiTheme="minorHAnsi" w:hAnsiTheme="minorHAnsi"/>
          <w:b/>
          <w:sz w:val="24"/>
        </w:rPr>
        <w:t xml:space="preserve">law reform </w:t>
      </w:r>
      <w:r w:rsidR="00ED2EFA" w:rsidRPr="00190AE2">
        <w:rPr>
          <w:rFonts w:asciiTheme="minorHAnsi" w:hAnsiTheme="minorHAnsi"/>
          <w:b/>
          <w:sz w:val="24"/>
        </w:rPr>
        <w:t xml:space="preserve">would benefit from </w:t>
      </w:r>
      <w:r w:rsidR="00ED2EFA" w:rsidRPr="00190AE2">
        <w:rPr>
          <w:rFonts w:asciiTheme="minorHAnsi" w:hAnsiTheme="minorHAnsi"/>
          <w:b/>
          <w:sz w:val="24"/>
        </w:rPr>
        <w:lastRenderedPageBreak/>
        <w:t xml:space="preserve">a clear analysis of existing legislation and regulation, identification of principles which should underlie good legislation, and promising practices. </w:t>
      </w:r>
    </w:p>
    <w:p w14:paraId="038D9479" w14:textId="77777777" w:rsidR="00ED2EFA" w:rsidRPr="00190AE2" w:rsidRDefault="00ED2EFA" w:rsidP="00ED2EFA">
      <w:pPr>
        <w:rPr>
          <w:lang w:val="en-CA"/>
        </w:rPr>
      </w:pPr>
    </w:p>
    <w:p w14:paraId="69859755" w14:textId="77777777" w:rsidR="00ED2EFA" w:rsidRPr="00190AE2" w:rsidRDefault="00ED2EFA" w:rsidP="00DE4E5C">
      <w:pPr>
        <w:rPr>
          <w:rFonts w:cs="Times New Roman"/>
        </w:rPr>
      </w:pPr>
    </w:p>
    <w:p w14:paraId="450B8C9E" w14:textId="77777777" w:rsidR="00DE4E5C" w:rsidRPr="00190AE2" w:rsidRDefault="00DE4E5C" w:rsidP="00DE4E5C">
      <w:pPr>
        <w:pStyle w:val="NormalWeb"/>
        <w:spacing w:before="0" w:beforeAutospacing="0" w:after="160" w:afterAutospacing="0"/>
        <w:jc w:val="both"/>
        <w:rPr>
          <w:rFonts w:asciiTheme="minorHAnsi" w:hAnsiTheme="minorHAnsi"/>
          <w:b/>
          <w:color w:val="000000"/>
          <w:lang w:val="en-CA"/>
        </w:rPr>
      </w:pPr>
      <w:r w:rsidRPr="00190AE2">
        <w:rPr>
          <w:rFonts w:asciiTheme="minorHAnsi" w:hAnsiTheme="minorHAnsi"/>
          <w:b/>
          <w:color w:val="000000"/>
          <w:lang w:val="en-CA"/>
        </w:rPr>
        <w:t>Sexual violence against women and girls in schools and on campuses</w:t>
      </w:r>
    </w:p>
    <w:p w14:paraId="671E6316" w14:textId="77777777" w:rsidR="00DE4E5C" w:rsidRPr="00190AE2" w:rsidRDefault="00DE4E5C" w:rsidP="00DE4E5C">
      <w:pPr>
        <w:jc w:val="both"/>
        <w:rPr>
          <w:rFonts w:cs="Times New Roman"/>
        </w:rPr>
      </w:pPr>
      <w:r w:rsidRPr="00190AE2">
        <w:rPr>
          <w:rFonts w:cs="Times New Roman"/>
        </w:rPr>
        <w:t xml:space="preserve">In Canada, young women between 15 and 25 years old attending an education facility are at high risk of experiencing sexual violence. Of all self-reported sexual assault in 2014, 41% were reported by students, 90% committed against women. Risk of sexual violence is particularly high for students who are Indigenous women, women with disabilities, and LGBTQIA2S students. </w:t>
      </w:r>
    </w:p>
    <w:p w14:paraId="13CC2D18" w14:textId="753D497D" w:rsidR="00DE4E5C" w:rsidRPr="00190AE2" w:rsidRDefault="00DE4E5C" w:rsidP="00DE4E5C">
      <w:pPr>
        <w:jc w:val="both"/>
        <w:rPr>
          <w:rFonts w:cs="Times New Roman"/>
        </w:rPr>
      </w:pPr>
      <w:r w:rsidRPr="00190AE2">
        <w:rPr>
          <w:rFonts w:cs="Times New Roman"/>
        </w:rPr>
        <w:t>Although, a lot of focus has been given to post-secondary settings, prevention of and response to sexual violence at all levels of education including elementary and high school is crucial. A study from the Center for Addiction and Mental Health revealed that almost half of high school female students experience sexual harassment, which is likely an underestimation.</w:t>
      </w:r>
      <w:r w:rsidR="0082107A">
        <w:rPr>
          <w:rFonts w:cs="Times New Roman"/>
        </w:rPr>
        <w:t xml:space="preserve"> </w:t>
      </w:r>
      <w:r w:rsidRPr="00190AE2">
        <w:rPr>
          <w:rFonts w:cs="Times New Roman"/>
        </w:rPr>
        <w:t>Across Canada there are a lot of inconsistencies in terms legislation to address sexual violence in schools and on campuses.</w:t>
      </w:r>
      <w:r w:rsidR="0082107A">
        <w:rPr>
          <w:rFonts w:cs="Times New Roman"/>
        </w:rPr>
        <w:t xml:space="preserve">  In relation to </w:t>
      </w:r>
      <w:r w:rsidRPr="00190AE2">
        <w:rPr>
          <w:rFonts w:cs="Times New Roman"/>
        </w:rPr>
        <w:t>post-secondary institutions</w:t>
      </w:r>
      <w:r w:rsidR="0082107A">
        <w:rPr>
          <w:rFonts w:cs="Times New Roman"/>
        </w:rPr>
        <w:t>, o</w:t>
      </w:r>
      <w:r w:rsidRPr="00190AE2">
        <w:rPr>
          <w:rFonts w:cs="Times New Roman"/>
        </w:rPr>
        <w:t xml:space="preserve">nly four provinces have introduced legislation that require universities </w:t>
      </w:r>
      <w:r w:rsidR="008D392C">
        <w:rPr>
          <w:rFonts w:cs="Times New Roman"/>
        </w:rPr>
        <w:t xml:space="preserve">and colleges </w:t>
      </w:r>
      <w:r w:rsidRPr="00190AE2">
        <w:rPr>
          <w:rFonts w:cs="Times New Roman"/>
        </w:rPr>
        <w:t>to have stand-alone sexual violence policies (out of our 10 provinces and 3 territories): Québec, Ontario, British Columbia and Manitoba.</w:t>
      </w:r>
      <w:r w:rsidR="008D392C">
        <w:rPr>
          <w:rFonts w:cs="Times New Roman"/>
        </w:rPr>
        <w:t xml:space="preserve"> T</w:t>
      </w:r>
      <w:r w:rsidRPr="00190AE2">
        <w:rPr>
          <w:rFonts w:cs="Times New Roman"/>
        </w:rPr>
        <w:t>here is a lot of discrepancy</w:t>
      </w:r>
      <w:r w:rsidR="008D392C" w:rsidRPr="008D392C">
        <w:rPr>
          <w:rFonts w:cs="Times New Roman"/>
        </w:rPr>
        <w:t xml:space="preserve"> </w:t>
      </w:r>
      <w:r w:rsidR="008D392C">
        <w:rPr>
          <w:rFonts w:cs="Times New Roman"/>
        </w:rPr>
        <w:t>i</w:t>
      </w:r>
      <w:r w:rsidR="008D392C" w:rsidRPr="008D392C">
        <w:rPr>
          <w:rFonts w:cs="Times New Roman"/>
        </w:rPr>
        <w:t>n the existing legislation</w:t>
      </w:r>
      <w:r w:rsidRPr="00190AE2">
        <w:rPr>
          <w:rFonts w:cs="Times New Roman"/>
        </w:rPr>
        <w:t>. Student groups and experts question the efficacy of the current legislation in informing the implementation of comprehensive sexual violence policies. For example, some legislation do</w:t>
      </w:r>
      <w:r w:rsidR="008D392C">
        <w:rPr>
          <w:rFonts w:cs="Times New Roman"/>
        </w:rPr>
        <w:t>es</w:t>
      </w:r>
      <w:r w:rsidRPr="00190AE2">
        <w:rPr>
          <w:rFonts w:cs="Times New Roman"/>
        </w:rPr>
        <w:t xml:space="preserve"> not mention training for the individuals involved in complaint processes, nor provide </w:t>
      </w:r>
      <w:r w:rsidR="008D392C">
        <w:rPr>
          <w:rFonts w:cs="Times New Roman"/>
        </w:rPr>
        <w:t xml:space="preserve">a </w:t>
      </w:r>
      <w:r w:rsidRPr="00190AE2">
        <w:rPr>
          <w:rFonts w:cs="Times New Roman"/>
        </w:rPr>
        <w:t xml:space="preserve">comprehensive definition of what is sexual violence. Some recognize the intersectional impact of violence others do not. Some address technology facilitated violence (cyber violence) others do not. And the list goes on. In October 2017, the pan-Canadian student initiative </w:t>
      </w:r>
      <w:r w:rsidRPr="00190AE2">
        <w:rPr>
          <w:rFonts w:cs="Times New Roman"/>
          <w:i/>
        </w:rPr>
        <w:t xml:space="preserve">Our Turn </w:t>
      </w:r>
      <w:r w:rsidRPr="00190AE2">
        <w:rPr>
          <w:rFonts w:cs="Times New Roman"/>
        </w:rPr>
        <w:t xml:space="preserve">in its report examining 14 sexual violence policies in universities across the country indicated that the policies average a grade of C-.  </w:t>
      </w:r>
      <w:r w:rsidR="003A6B84" w:rsidRPr="00190AE2">
        <w:rPr>
          <w:rFonts w:cs="Times New Roman"/>
        </w:rPr>
        <w:t>This point</w:t>
      </w:r>
      <w:r w:rsidR="003A6B84">
        <w:rPr>
          <w:rFonts w:cs="Times New Roman"/>
        </w:rPr>
        <w:t>s</w:t>
      </w:r>
      <w:r w:rsidRPr="00190AE2">
        <w:rPr>
          <w:rFonts w:cs="Times New Roman"/>
        </w:rPr>
        <w:t xml:space="preserve"> to the lack of national standards and legislation to address sexual violence in schools and on campuses. In the latest budget, the federal government has committed to developing a National Framework to Address Gender-based Violence at Post-secondary institutions and to cut funding for institutions that don't implement best practices to deal with sexual assault. This is a positive step forward. </w:t>
      </w:r>
    </w:p>
    <w:p w14:paraId="1AEAACFD" w14:textId="77777777" w:rsidR="00DE4E5C" w:rsidRPr="00190AE2" w:rsidRDefault="00DE4E5C" w:rsidP="00DE4E5C">
      <w:pPr>
        <w:jc w:val="both"/>
        <w:rPr>
          <w:rFonts w:cs="Times New Roman"/>
        </w:rPr>
      </w:pPr>
    </w:p>
    <w:p w14:paraId="37FB3363" w14:textId="77777777" w:rsidR="00DE4E5C" w:rsidRPr="00190AE2" w:rsidRDefault="00DE4E5C" w:rsidP="00DE4E5C">
      <w:pPr>
        <w:jc w:val="both"/>
        <w:rPr>
          <w:rFonts w:cs="Times New Roman"/>
        </w:rPr>
      </w:pPr>
      <w:r w:rsidRPr="00190AE2">
        <w:rPr>
          <w:rFonts w:cs="Times New Roman"/>
        </w:rPr>
        <w:t>But, when dealing with sexual violence in education, emphasis</w:t>
      </w:r>
      <w:r w:rsidR="0082107A">
        <w:rPr>
          <w:rFonts w:cs="Times New Roman"/>
        </w:rPr>
        <w:t xml:space="preserve"> must be </w:t>
      </w:r>
      <w:r w:rsidRPr="00190AE2">
        <w:rPr>
          <w:rFonts w:cs="Times New Roman"/>
        </w:rPr>
        <w:t>put on legislation that is informed by best practices, coordinated between all jurisdictions, and that includes all school level</w:t>
      </w:r>
      <w:r w:rsidR="008D392C">
        <w:rPr>
          <w:rFonts w:cs="Times New Roman"/>
        </w:rPr>
        <w:t>s</w:t>
      </w:r>
      <w:r w:rsidRPr="00190AE2">
        <w:rPr>
          <w:rFonts w:cs="Times New Roman"/>
        </w:rPr>
        <w:t xml:space="preserve"> (including secondary and elementary). </w:t>
      </w:r>
      <w:r w:rsidRPr="00190AE2">
        <w:rPr>
          <w:rFonts w:eastAsia="Times New Roman" w:cs="Times New Roman"/>
          <w:color w:val="000000"/>
          <w:lang w:eastAsia="fr-CA"/>
        </w:rPr>
        <w:t xml:space="preserve">Some provinces are starting to address violence in schools through curriculum changes focusing on healthy relationships, but there is the need for further discussions about prevention initiatives, including access to comprehensive sexuality education for elementary and secondary students. Moreover, discrepancies in transparency measures are also a barrier in holding institutions accountable for cases of sexual violence. </w:t>
      </w:r>
      <w:r w:rsidRPr="00190AE2">
        <w:rPr>
          <w:rFonts w:cs="Times New Roman"/>
        </w:rPr>
        <w:t xml:space="preserve">For example, if we look at the high school level in Ontario, in 2016, not all incidents of sexual violence which resulted in disciplinary action were reported to the </w:t>
      </w:r>
      <w:r w:rsidR="008D392C">
        <w:rPr>
          <w:rFonts w:cs="Times New Roman"/>
        </w:rPr>
        <w:t xml:space="preserve">Ontario </w:t>
      </w:r>
      <w:r w:rsidRPr="00190AE2">
        <w:rPr>
          <w:rFonts w:cs="Times New Roman"/>
        </w:rPr>
        <w:t>College of Teachers.</w:t>
      </w:r>
      <w:r w:rsidR="00695D58" w:rsidRPr="00190AE2">
        <w:rPr>
          <w:rFonts w:cs="Times New Roman"/>
        </w:rPr>
        <w:t xml:space="preserve">  </w:t>
      </w:r>
      <w:r w:rsidRPr="00190AE2">
        <w:rPr>
          <w:rFonts w:cs="Times New Roman"/>
        </w:rPr>
        <w:t>Nationwide comprehensive prevention measures, survivor-</w:t>
      </w:r>
      <w:proofErr w:type="spellStart"/>
      <w:r w:rsidRPr="00190AE2">
        <w:rPr>
          <w:rFonts w:cs="Times New Roman"/>
        </w:rPr>
        <w:t>centred</w:t>
      </w:r>
      <w:proofErr w:type="spellEnd"/>
      <w:r w:rsidRPr="00190AE2">
        <w:rPr>
          <w:rFonts w:cs="Times New Roman"/>
        </w:rPr>
        <w:t xml:space="preserve"> reporting and transparency mechanisms </w:t>
      </w:r>
      <w:r w:rsidR="008D392C">
        <w:rPr>
          <w:rFonts w:cs="Times New Roman"/>
        </w:rPr>
        <w:t xml:space="preserve">(including monitoring and reporting) </w:t>
      </w:r>
      <w:r w:rsidRPr="00190AE2">
        <w:rPr>
          <w:rFonts w:cs="Times New Roman"/>
        </w:rPr>
        <w:t xml:space="preserve">are essential in addressing sexual violence at </w:t>
      </w:r>
      <w:r w:rsidRPr="00190AE2">
        <w:rPr>
          <w:rFonts w:cs="Times New Roman"/>
        </w:rPr>
        <w:lastRenderedPageBreak/>
        <w:t xml:space="preserve">schools and on campuses. Adopting a National Action Plan to Address Violence Against Women is crucial in implementing this.  </w:t>
      </w:r>
    </w:p>
    <w:p w14:paraId="3AEF2FC3" w14:textId="77777777" w:rsidR="00DE4E5C" w:rsidRPr="00190AE2" w:rsidRDefault="00DE4E5C" w:rsidP="00DE4E5C">
      <w:pPr>
        <w:jc w:val="both"/>
        <w:rPr>
          <w:rFonts w:cs="Times New Roman"/>
          <w:b/>
        </w:rPr>
      </w:pPr>
    </w:p>
    <w:p w14:paraId="05081AAB" w14:textId="77777777" w:rsidR="00DE4E5C" w:rsidRPr="00190AE2" w:rsidRDefault="00614B0F" w:rsidP="00DE4E5C">
      <w:pPr>
        <w:jc w:val="both"/>
        <w:rPr>
          <w:rFonts w:cs="Times New Roman"/>
          <w:b/>
        </w:rPr>
      </w:pPr>
      <w:r>
        <w:rPr>
          <w:rFonts w:cs="Times New Roman"/>
          <w:b/>
        </w:rPr>
        <w:t xml:space="preserve">VAW </w:t>
      </w:r>
      <w:r w:rsidR="00DE4E5C" w:rsidRPr="00190AE2">
        <w:rPr>
          <w:rFonts w:cs="Times New Roman"/>
          <w:b/>
        </w:rPr>
        <w:t>Law Reform Recommendation #</w:t>
      </w:r>
      <w:r>
        <w:rPr>
          <w:rFonts w:cs="Times New Roman"/>
          <w:b/>
        </w:rPr>
        <w:t>12:</w:t>
      </w:r>
    </w:p>
    <w:p w14:paraId="22F3C8E5" w14:textId="77777777" w:rsidR="00B56284" w:rsidRDefault="00B56284" w:rsidP="00DE4E5C">
      <w:pPr>
        <w:jc w:val="both"/>
        <w:rPr>
          <w:rFonts w:cs="Times New Roman"/>
        </w:rPr>
      </w:pPr>
    </w:p>
    <w:p w14:paraId="7D6ECA8F" w14:textId="6A62E78B" w:rsidR="00DE4E5C" w:rsidRPr="00190AE2" w:rsidRDefault="00B56284" w:rsidP="00B56284">
      <w:pPr>
        <w:ind w:left="720"/>
        <w:jc w:val="both"/>
        <w:rPr>
          <w:rFonts w:cs="Times New Roman"/>
          <w:color w:val="000000"/>
        </w:rPr>
      </w:pPr>
      <w:r w:rsidRPr="00B56284">
        <w:rPr>
          <w:rFonts w:cs="Times New Roman"/>
          <w:b/>
        </w:rPr>
        <w:t xml:space="preserve">That </w:t>
      </w:r>
      <w:r w:rsidR="00DE4E5C" w:rsidRPr="00B56284">
        <w:rPr>
          <w:rFonts w:cs="Times New Roman"/>
          <w:b/>
        </w:rPr>
        <w:t xml:space="preserve">the federal government invest in </w:t>
      </w:r>
      <w:r>
        <w:rPr>
          <w:rFonts w:cs="Times New Roman"/>
          <w:b/>
          <w:color w:val="000000"/>
        </w:rPr>
        <w:t>c</w:t>
      </w:r>
      <w:r w:rsidR="00DE4E5C" w:rsidRPr="00B56284">
        <w:rPr>
          <w:rFonts w:cs="Times New Roman"/>
          <w:b/>
          <w:color w:val="000000"/>
        </w:rPr>
        <w:t>apacity-building to identify best practices</w:t>
      </w:r>
      <w:r>
        <w:rPr>
          <w:rFonts w:cs="Times New Roman"/>
          <w:b/>
          <w:color w:val="000000"/>
        </w:rPr>
        <w:t xml:space="preserve"> </w:t>
      </w:r>
      <w:r w:rsidR="008D392C">
        <w:rPr>
          <w:rFonts w:cs="Times New Roman"/>
          <w:b/>
          <w:color w:val="000000"/>
        </w:rPr>
        <w:t xml:space="preserve">and </w:t>
      </w:r>
      <w:r w:rsidR="008D392C" w:rsidRPr="00B56284">
        <w:rPr>
          <w:rFonts w:cs="Times New Roman"/>
          <w:b/>
          <w:color w:val="000000"/>
        </w:rPr>
        <w:t>ensure</w:t>
      </w:r>
      <w:r w:rsidR="00DE4E5C" w:rsidRPr="00B56284">
        <w:rPr>
          <w:rFonts w:cs="Times New Roman"/>
          <w:b/>
          <w:color w:val="000000"/>
        </w:rPr>
        <w:t xml:space="preserve"> consistency in legislation across jurisdictions to address sexual violence on campuses and in schools (including using federal spending power to hold institutions to account</w:t>
      </w:r>
      <w:r w:rsidR="00DE4E5C" w:rsidRPr="00190AE2">
        <w:rPr>
          <w:rFonts w:cs="Times New Roman"/>
          <w:color w:val="000000"/>
        </w:rPr>
        <w:t>)</w:t>
      </w:r>
      <w:r>
        <w:rPr>
          <w:rFonts w:cs="Times New Roman"/>
          <w:color w:val="000000"/>
        </w:rPr>
        <w:t>.</w:t>
      </w:r>
      <w:r w:rsidR="00DE4E5C" w:rsidRPr="00190AE2">
        <w:rPr>
          <w:rFonts w:cs="Times New Roman"/>
          <w:color w:val="000000"/>
        </w:rPr>
        <w:t xml:space="preserve"> </w:t>
      </w:r>
    </w:p>
    <w:p w14:paraId="1E5DDA32" w14:textId="77777777" w:rsidR="00DE4E5C" w:rsidRPr="00190AE2" w:rsidRDefault="00DE4E5C" w:rsidP="00DE4E5C">
      <w:pPr>
        <w:rPr>
          <w:rFonts w:cs="Times New Roman"/>
        </w:rPr>
      </w:pPr>
    </w:p>
    <w:p w14:paraId="11886897" w14:textId="77777777" w:rsidR="00DE4E5C" w:rsidRPr="00190AE2" w:rsidRDefault="00DE4E5C" w:rsidP="00DE4E5C">
      <w:pPr>
        <w:jc w:val="both"/>
        <w:rPr>
          <w:rFonts w:cs="Times New Roman"/>
          <w:b/>
        </w:rPr>
      </w:pPr>
      <w:r w:rsidRPr="00190AE2">
        <w:rPr>
          <w:rFonts w:cs="Times New Roman"/>
          <w:b/>
        </w:rPr>
        <w:t xml:space="preserve">Technologically-facilitated </w:t>
      </w:r>
      <w:r w:rsidR="00614B0F">
        <w:rPr>
          <w:rFonts w:cs="Times New Roman"/>
          <w:b/>
        </w:rPr>
        <w:t>v</w:t>
      </w:r>
      <w:r w:rsidRPr="00190AE2">
        <w:rPr>
          <w:rFonts w:cs="Times New Roman"/>
          <w:b/>
        </w:rPr>
        <w:t xml:space="preserve">iolence against </w:t>
      </w:r>
      <w:r w:rsidR="00614B0F">
        <w:rPr>
          <w:rFonts w:cs="Times New Roman"/>
          <w:b/>
        </w:rPr>
        <w:t>w</w:t>
      </w:r>
      <w:r w:rsidRPr="00190AE2">
        <w:rPr>
          <w:rFonts w:cs="Times New Roman"/>
          <w:b/>
        </w:rPr>
        <w:t xml:space="preserve">omen and </w:t>
      </w:r>
      <w:r w:rsidR="00614B0F">
        <w:rPr>
          <w:rFonts w:cs="Times New Roman"/>
          <w:b/>
        </w:rPr>
        <w:t>g</w:t>
      </w:r>
      <w:r w:rsidRPr="00190AE2">
        <w:rPr>
          <w:rFonts w:cs="Times New Roman"/>
          <w:b/>
        </w:rPr>
        <w:t>irls</w:t>
      </w:r>
    </w:p>
    <w:p w14:paraId="392113B7" w14:textId="77777777" w:rsidR="00DE4E5C" w:rsidRPr="00190AE2" w:rsidRDefault="00DE4E5C" w:rsidP="00DE4E5C">
      <w:pPr>
        <w:jc w:val="both"/>
        <w:rPr>
          <w:rFonts w:cs="Times New Roman"/>
          <w:b/>
        </w:rPr>
      </w:pPr>
    </w:p>
    <w:p w14:paraId="44FE296C" w14:textId="5AFA2625" w:rsidR="00DE4E5C" w:rsidRPr="00190AE2" w:rsidRDefault="00614B0F" w:rsidP="00DE4E5C">
      <w:pPr>
        <w:jc w:val="both"/>
        <w:rPr>
          <w:rFonts w:cs="Times New Roman"/>
        </w:rPr>
      </w:pPr>
      <w:r w:rsidRPr="00614B0F">
        <w:rPr>
          <w:rFonts w:cs="Times New Roman"/>
        </w:rPr>
        <w:t>This particular area of violence against women is still, in some respects, an emerging and developing one, given the way our technologies are continually changing.</w:t>
      </w:r>
      <w:r>
        <w:rPr>
          <w:rFonts w:cs="Times New Roman"/>
        </w:rPr>
        <w:t xml:space="preserve">  </w:t>
      </w:r>
      <w:r w:rsidR="00DE4E5C" w:rsidRPr="00190AE2">
        <w:rPr>
          <w:rFonts w:cs="Times New Roman"/>
        </w:rPr>
        <w:t xml:space="preserve">The Canadian Association of Sexual Assault </w:t>
      </w:r>
      <w:proofErr w:type="spellStart"/>
      <w:r w:rsidR="00DE4E5C" w:rsidRPr="00190AE2">
        <w:rPr>
          <w:rFonts w:cs="Times New Roman"/>
        </w:rPr>
        <w:t>Centres</w:t>
      </w:r>
      <w:proofErr w:type="spellEnd"/>
      <w:r w:rsidR="00DE4E5C" w:rsidRPr="00190AE2">
        <w:rPr>
          <w:rFonts w:cs="Times New Roman"/>
        </w:rPr>
        <w:t xml:space="preserve"> and Feminist Alliance for International Action define technologically-facilitated violence against women and girls as: “revenge porn, non-consensual sharing of intimate images among youth, child sexual exploitation, cyber stalking and gender-based hate speech online, with a special emphasis on the particular vulnerability of Indigenous women and girls and girls from sexual minorities.” The effects of this violence are severe: women’s participation in online spaces </w:t>
      </w:r>
      <w:r w:rsidR="003A6B84">
        <w:rPr>
          <w:rFonts w:cs="Times New Roman"/>
        </w:rPr>
        <w:t>is</w:t>
      </w:r>
      <w:r w:rsidR="00DE4E5C" w:rsidRPr="00190AE2">
        <w:rPr>
          <w:rFonts w:cs="Times New Roman"/>
        </w:rPr>
        <w:t xml:space="preserve"> seriously undermined, and their participation is essential to participating in the modern world</w:t>
      </w:r>
      <w:r w:rsidR="003A6B84">
        <w:rPr>
          <w:rFonts w:cs="Times New Roman"/>
        </w:rPr>
        <w:t>. Women and girls</w:t>
      </w:r>
      <w:r w:rsidR="00DE4E5C" w:rsidRPr="00190AE2">
        <w:rPr>
          <w:rFonts w:cs="Times New Roman"/>
        </w:rPr>
        <w:t xml:space="preserve"> experience </w:t>
      </w:r>
      <w:r w:rsidR="003A6B84">
        <w:rPr>
          <w:rFonts w:cs="Times New Roman"/>
        </w:rPr>
        <w:t xml:space="preserve">a range of violence including: </w:t>
      </w:r>
      <w:r w:rsidR="00DE4E5C" w:rsidRPr="00190AE2">
        <w:rPr>
          <w:rFonts w:cs="Times New Roman"/>
        </w:rPr>
        <w:t xml:space="preserve">rape threats, hacking, doxing (the practice of publishing one’s personal contact and identifying information online), and attacks on social media, particularly when women critique sexist media practices online. </w:t>
      </w:r>
    </w:p>
    <w:p w14:paraId="6587FB2F" w14:textId="77777777" w:rsidR="00DE4E5C" w:rsidRPr="00190AE2" w:rsidRDefault="00DE4E5C" w:rsidP="00DE4E5C">
      <w:pPr>
        <w:jc w:val="both"/>
        <w:rPr>
          <w:rFonts w:cs="Times New Roman"/>
        </w:rPr>
      </w:pPr>
    </w:p>
    <w:p w14:paraId="2CBC29F2" w14:textId="6D7C82A0" w:rsidR="00DE4E5C" w:rsidRDefault="00DE4E5C" w:rsidP="00DE4E5C">
      <w:pPr>
        <w:jc w:val="both"/>
        <w:rPr>
          <w:rFonts w:cs="Times New Roman"/>
          <w:b/>
        </w:rPr>
      </w:pPr>
      <w:r w:rsidRPr="00190AE2">
        <w:rPr>
          <w:rFonts w:cs="Times New Roman"/>
        </w:rPr>
        <w:t>Much has already been written on this area of violence against women and girl</w:t>
      </w:r>
      <w:r w:rsidR="003A6B84">
        <w:rPr>
          <w:rFonts w:cs="Times New Roman"/>
        </w:rPr>
        <w:t>s</w:t>
      </w:r>
      <w:r w:rsidRPr="00190AE2">
        <w:rPr>
          <w:rFonts w:cs="Times New Roman"/>
        </w:rPr>
        <w:t xml:space="preserve"> through a feminist lens; however, the information and data available has yet to build capacity within the feminist community to identify the best practices and possibilities for law reform. Moreover, there has been limited movement by the federal government in terms of criminalizing these online forms of violence against women in the </w:t>
      </w:r>
      <w:r w:rsidRPr="00190AE2">
        <w:rPr>
          <w:rFonts w:cs="Times New Roman"/>
          <w:i/>
        </w:rPr>
        <w:t xml:space="preserve">Criminal Code </w:t>
      </w:r>
      <w:r w:rsidRPr="00190AE2">
        <w:rPr>
          <w:rFonts w:cs="Times New Roman"/>
        </w:rPr>
        <w:t>itself, rendering the current state of the criminal justice system weak in terms of its response to cases where women and girls’ online participation are attacked. In the provinces of Manitoba and Alberta, there is some legislation enacted to address the issue of revenge porn in the civil context, where some responses include orders for taking down leaked images or digital no contact orders. However, this type of response is not widespread in Canada among other provincial governments.</w:t>
      </w:r>
      <w:r w:rsidR="00614B0F" w:rsidRPr="00614B0F">
        <w:rPr>
          <w:rFonts w:cs="Times New Roman"/>
          <w:b/>
        </w:rPr>
        <w:t xml:space="preserve"> </w:t>
      </w:r>
    </w:p>
    <w:p w14:paraId="49A1E3A8" w14:textId="77777777" w:rsidR="00614B0F" w:rsidRPr="00190AE2" w:rsidRDefault="00614B0F" w:rsidP="00DE4E5C">
      <w:pPr>
        <w:jc w:val="both"/>
        <w:rPr>
          <w:rFonts w:cs="Times New Roman"/>
        </w:rPr>
      </w:pPr>
    </w:p>
    <w:p w14:paraId="62A78D74" w14:textId="77777777" w:rsidR="00B56284" w:rsidRDefault="00B56284" w:rsidP="00DE4E5C">
      <w:pPr>
        <w:jc w:val="both"/>
        <w:rPr>
          <w:rFonts w:cs="Times New Roman"/>
          <w:b/>
        </w:rPr>
      </w:pPr>
    </w:p>
    <w:p w14:paraId="50EA8AC8" w14:textId="77777777" w:rsidR="00DE4E5C" w:rsidRPr="00614B0F" w:rsidRDefault="00614B0F" w:rsidP="00DE4E5C">
      <w:pPr>
        <w:jc w:val="both"/>
        <w:rPr>
          <w:rFonts w:cs="Times New Roman"/>
          <w:b/>
        </w:rPr>
      </w:pPr>
      <w:r w:rsidRPr="00614B0F">
        <w:rPr>
          <w:rFonts w:cs="Times New Roman"/>
          <w:b/>
        </w:rPr>
        <w:t xml:space="preserve">VAW </w:t>
      </w:r>
      <w:r w:rsidR="00DE4E5C" w:rsidRPr="00614B0F">
        <w:rPr>
          <w:rFonts w:cs="Times New Roman"/>
          <w:b/>
        </w:rPr>
        <w:t>Law Reform Recommendation #</w:t>
      </w:r>
      <w:r w:rsidRPr="00614B0F">
        <w:rPr>
          <w:rFonts w:cs="Times New Roman"/>
          <w:b/>
        </w:rPr>
        <w:t>13</w:t>
      </w:r>
      <w:r w:rsidR="00DE4E5C" w:rsidRPr="00614B0F">
        <w:rPr>
          <w:rFonts w:cs="Times New Roman"/>
          <w:b/>
        </w:rPr>
        <w:t xml:space="preserve">: </w:t>
      </w:r>
    </w:p>
    <w:p w14:paraId="50DB0D39" w14:textId="77777777" w:rsidR="00DE4E5C" w:rsidRPr="00190AE2" w:rsidRDefault="00DE4E5C" w:rsidP="00DE4E5C">
      <w:pPr>
        <w:jc w:val="both"/>
        <w:rPr>
          <w:rFonts w:cs="Times New Roman"/>
        </w:rPr>
      </w:pPr>
    </w:p>
    <w:p w14:paraId="7E971321" w14:textId="7D339C30" w:rsidR="00DE4E5C" w:rsidRPr="00190AE2" w:rsidRDefault="00614B0F" w:rsidP="00614B0F">
      <w:pPr>
        <w:ind w:left="720"/>
        <w:jc w:val="both"/>
        <w:rPr>
          <w:rFonts w:cs="Times New Roman"/>
          <w:b/>
        </w:rPr>
      </w:pPr>
      <w:r>
        <w:rPr>
          <w:rFonts w:cs="Times New Roman"/>
          <w:b/>
        </w:rPr>
        <w:t xml:space="preserve">That </w:t>
      </w:r>
      <w:r w:rsidR="00DE4E5C" w:rsidRPr="00190AE2">
        <w:rPr>
          <w:rFonts w:cs="Times New Roman"/>
          <w:b/>
        </w:rPr>
        <w:t>the Canadian government invest in capacity-building to inform and develop a law reform agenda on technologically-facilitated violence</w:t>
      </w:r>
      <w:r>
        <w:rPr>
          <w:rFonts w:cs="Times New Roman"/>
          <w:b/>
        </w:rPr>
        <w:t xml:space="preserve"> and that </w:t>
      </w:r>
      <w:r w:rsidR="00DE4E5C" w:rsidRPr="00190AE2">
        <w:rPr>
          <w:rFonts w:cs="Times New Roman"/>
          <w:b/>
        </w:rPr>
        <w:t xml:space="preserve">the federal government use its leadership in taking a proactive stance to establishing a consistent approach across all jurisdictions in adequately address, and strongly denounce, these forms of violence against women and girls. </w:t>
      </w:r>
    </w:p>
    <w:p w14:paraId="04C5C783" w14:textId="77777777" w:rsidR="00DE4E5C" w:rsidRPr="00190AE2" w:rsidRDefault="00DE4E5C" w:rsidP="00DE4E5C">
      <w:pPr>
        <w:rPr>
          <w:rFonts w:cs="Times New Roman"/>
        </w:rPr>
      </w:pPr>
    </w:p>
    <w:p w14:paraId="32839D12" w14:textId="77777777" w:rsidR="00120EAE" w:rsidRPr="00190AE2" w:rsidRDefault="00120EAE" w:rsidP="00E066DC">
      <w:pPr>
        <w:pStyle w:val="Heading1"/>
        <w:numPr>
          <w:ilvl w:val="0"/>
          <w:numId w:val="30"/>
        </w:numPr>
        <w:rPr>
          <w:rFonts w:asciiTheme="minorHAnsi" w:hAnsiTheme="minorHAnsi"/>
          <w:sz w:val="24"/>
        </w:rPr>
      </w:pPr>
      <w:r w:rsidRPr="00190AE2">
        <w:rPr>
          <w:rFonts w:asciiTheme="minorHAnsi" w:hAnsiTheme="minorHAnsi"/>
          <w:sz w:val="24"/>
        </w:rPr>
        <w:t>Violence against women and girls related to reproductive and sexual rights and health</w:t>
      </w:r>
      <w:r w:rsidR="00E066DC">
        <w:rPr>
          <w:rFonts w:asciiTheme="minorHAnsi" w:hAnsiTheme="minorHAnsi"/>
          <w:sz w:val="24"/>
        </w:rPr>
        <w:t xml:space="preserve"> </w:t>
      </w:r>
    </w:p>
    <w:p w14:paraId="7E2D8304" w14:textId="77777777" w:rsidR="00120EAE" w:rsidRPr="00190AE2" w:rsidRDefault="00120EAE" w:rsidP="00120EAE">
      <w:r w:rsidRPr="00190AE2">
        <w:t xml:space="preserve">Article 12 of the </w:t>
      </w:r>
      <w:r w:rsidRPr="00BB0284">
        <w:rPr>
          <w:i/>
        </w:rPr>
        <w:t>Convention on the Elimination of all forms of Discrimination Against Women</w:t>
      </w:r>
      <w:r w:rsidRPr="00190AE2">
        <w:t xml:space="preserve"> (CEDAW) requires State parties to “eliminate discrimination against women in the field of health care in order to ensure, on a basis of equality of men and women, access to health care services, including those related to family planning,” and to “ensure to women appropriate services in connection with pregnancy, confinement and the post-natal period, granting free services where necessary.”</w:t>
      </w:r>
      <w:r w:rsidRPr="00190AE2">
        <w:rPr>
          <w:vertAlign w:val="superscript"/>
        </w:rPr>
        <w:footnoteReference w:id="19"/>
      </w:r>
      <w:r w:rsidR="00614B0F">
        <w:t xml:space="preserve">  </w:t>
      </w:r>
      <w:r w:rsidRPr="00190AE2">
        <w:t>The Committee on the Elimination of Discrimination Against Women (the Committee) has, on numerous occasions, outlined States Parties’ obligation to ensure access to safe abortion services, as part of the right to health. In General Recommendation 24 on women and health the Committee states that it is “discriminatory for a State party to refuse to provide legally for the performance of certain reproductive health services for women” and “urges states increase the access of women and adolescent girls to affordable health-care services, including reproductive health care.”</w:t>
      </w:r>
      <w:r w:rsidRPr="00190AE2">
        <w:rPr>
          <w:vertAlign w:val="superscript"/>
        </w:rPr>
        <w:footnoteReference w:id="20"/>
      </w:r>
      <w:r w:rsidRPr="00190AE2">
        <w:t xml:space="preserve"> State Parties must “report on measures taken to eliminate barriers that women face in access to health-care services and what measures they have taken to ensure women timely and affordable access to such services. Barriers include requirements or conditions that prejudice women’s access, such as high fees for health-care services…distance from health facilities and the absence of convenient and affordable public transport.”</w:t>
      </w:r>
      <w:r w:rsidRPr="00190AE2">
        <w:rPr>
          <w:vertAlign w:val="superscript"/>
        </w:rPr>
        <w:footnoteReference w:id="21"/>
      </w:r>
      <w:r w:rsidRPr="00190AE2">
        <w:t xml:space="preserve"> </w:t>
      </w:r>
      <w:r w:rsidR="00614B0F">
        <w:t xml:space="preserve"> </w:t>
      </w:r>
      <w:r w:rsidRPr="00190AE2">
        <w:t>In General Recommendation 24, the Committee states that “States parties should report on measures taken to eliminate barriers that women face in access to health-care services and what measures they have taken to ensure women timely and affordable access to such services. Barriers include requirements or conditions that prejudice women’s access...”</w:t>
      </w:r>
      <w:r w:rsidRPr="00190AE2">
        <w:rPr>
          <w:vertAlign w:val="superscript"/>
        </w:rPr>
        <w:footnoteReference w:id="22"/>
      </w:r>
      <w:r w:rsidRPr="00190AE2">
        <w:t xml:space="preserve"> Further, the Committee states that “States and parties cannot absolve themselves of responsibility in these areas by delegating or transferring these powers to private sector agencies. States parties should therefore report on what they have done to organize governmental processes and all structures through which public power is exercised to promote and protect women’s health.”</w:t>
      </w:r>
      <w:r w:rsidRPr="00190AE2">
        <w:rPr>
          <w:vertAlign w:val="superscript"/>
        </w:rPr>
        <w:footnoteReference w:id="23"/>
      </w:r>
      <w:r w:rsidRPr="00190AE2">
        <w:t xml:space="preserve"> </w:t>
      </w:r>
    </w:p>
    <w:p w14:paraId="33083B99" w14:textId="77777777" w:rsidR="00695D58" w:rsidRPr="00190AE2" w:rsidRDefault="00695D58" w:rsidP="00120EAE"/>
    <w:p w14:paraId="5DE31BE5" w14:textId="0E7CCF4A" w:rsidR="00120EAE" w:rsidRPr="00190AE2" w:rsidRDefault="00120EAE" w:rsidP="00120EAE">
      <w:r w:rsidRPr="00190AE2">
        <w:t xml:space="preserve">In accordance with the 1988 Supreme Court of Canada decision </w:t>
      </w:r>
      <w:r w:rsidRPr="00BB0284">
        <w:rPr>
          <w:i/>
        </w:rPr>
        <w:t>R. v. Morgentaler</w:t>
      </w:r>
      <w:r w:rsidRPr="00190AE2">
        <w:t>,</w:t>
      </w:r>
      <w:r w:rsidR="00304187">
        <w:rPr>
          <w:rStyle w:val="FootnoteReference"/>
        </w:rPr>
        <w:footnoteReference w:id="24"/>
      </w:r>
      <w:r w:rsidRPr="00190AE2">
        <w:t xml:space="preserve"> there are no criminal laws restricting access to abortion in Canada. In Canada, the provincial governments are responsible for the administration, organization and delivery of health care. The federal government has constitutionally granted “spending power,” which enables it to fund the health systems under provincial jurisdiction, subject to provincial compliance with certain requirements set out in the 1984 Canada Health Act (herein the Act). It regulates the conditions </w:t>
      </w:r>
      <w:r w:rsidRPr="00190AE2">
        <w:lastRenderedPageBreak/>
        <w:t>to which provincial and territorial health insurance programs must adhere in order to receive the full amount of the Canada Health Transfer (herein the CHT) cash contribution. If any of the provinces or territories fail to meet any one of the criteria set out in section 13 of the Act, or if the province allows extra billing by medical practitioners or permits user charges for insured health services, the province will face as the penalty a reduction or withholding of the cash contribution. The Act states that provinces and territories must provide universal coverage for all insured persons for all medically necessary hospital and physician services, which includes abortion.</w:t>
      </w:r>
    </w:p>
    <w:p w14:paraId="6CB20CAF" w14:textId="77777777" w:rsidR="00695D58" w:rsidRPr="00190AE2" w:rsidRDefault="00695D58" w:rsidP="00120EAE"/>
    <w:p w14:paraId="059D9661" w14:textId="0CB13316" w:rsidR="00120EAE" w:rsidRDefault="00120EAE" w:rsidP="00120EAE">
      <w:r w:rsidRPr="00190AE2">
        <w:t>Lack of access to safe abortion services continues to be an obstacle and a barrier for women who choose to terminate their pregnancies, particularly those in rural or remote regions.</w:t>
      </w:r>
      <w:r w:rsidRPr="00190AE2">
        <w:rPr>
          <w:vertAlign w:val="superscript"/>
        </w:rPr>
        <w:footnoteReference w:id="25"/>
      </w:r>
      <w:r w:rsidRPr="00190AE2">
        <w:t xml:space="preserve"> Only 1/6th of hospitals provide abortion services,</w:t>
      </w:r>
      <w:r w:rsidRPr="00190AE2">
        <w:rPr>
          <w:vertAlign w:val="superscript"/>
        </w:rPr>
        <w:footnoteReference w:id="26"/>
      </w:r>
      <w:r w:rsidRPr="00190AE2">
        <w:t xml:space="preserve"> the majority of which (both hospitals and free standing sexual health clinics) are disproportionately dispersed across Canada and located in urban areas.</w:t>
      </w:r>
      <w:r w:rsidRPr="00190AE2">
        <w:rPr>
          <w:vertAlign w:val="superscript"/>
        </w:rPr>
        <w:footnoteReference w:id="27"/>
      </w:r>
      <w:r w:rsidRPr="00190AE2">
        <w:t xml:space="preserve"> Twenty percent of people in Canada live in rural areas where they must travel sometimes thousands of </w:t>
      </w:r>
      <w:proofErr w:type="spellStart"/>
      <w:r w:rsidRPr="00190AE2">
        <w:t>kilometres</w:t>
      </w:r>
      <w:proofErr w:type="spellEnd"/>
      <w:r w:rsidRPr="00190AE2">
        <w:t xml:space="preserve"> to access abortion services, which in particular often require timely care, placing a further impediment to access. Adding to this, there are few points of services that offer services beyond 16 weeks’ gestation.</w:t>
      </w:r>
      <w:r w:rsidRPr="00190AE2">
        <w:rPr>
          <w:vertAlign w:val="superscript"/>
        </w:rPr>
        <w:footnoteReference w:id="28"/>
      </w:r>
      <w:r w:rsidRPr="00190AE2">
        <w:t xml:space="preserve"> This is particularly difficult for women living in areas with only one service provider (where the provider may only offer services until 10 or 12 weeks’ gestation, for example). These realities are compounded by other barriers including significant wait times, financial burdens,</w:t>
      </w:r>
      <w:r w:rsidRPr="00190AE2">
        <w:rPr>
          <w:vertAlign w:val="superscript"/>
        </w:rPr>
        <w:footnoteReference w:id="29"/>
      </w:r>
      <w:r w:rsidRPr="00190AE2">
        <w:t xml:space="preserve"> required doctor referrals, and geographic location. While there are no laws requiring parental consent or laws imposing restrictions to abortion access based on age, young women seeking abortion services have reported experiencing stigma and discrimination from health care providers.</w:t>
      </w:r>
      <w:r w:rsidRPr="00190AE2">
        <w:rPr>
          <w:vertAlign w:val="superscript"/>
        </w:rPr>
        <w:footnoteReference w:id="30"/>
      </w:r>
    </w:p>
    <w:p w14:paraId="05019888" w14:textId="77777777" w:rsidR="00304187" w:rsidRPr="00190AE2" w:rsidRDefault="00304187" w:rsidP="00120EAE"/>
    <w:p w14:paraId="099EC402" w14:textId="3C86CD7F" w:rsidR="00120EAE" w:rsidRPr="00190AE2" w:rsidRDefault="00120EAE" w:rsidP="00120EAE">
      <w:r w:rsidRPr="00190AE2">
        <w:t xml:space="preserve">Violence, harassment and intimidation experienced by those seeking abortion services remain a significant barrier. Across the country, there is ample evidence that anti-choice harassment and intimidation is a significant barrier to accessing safe abortion care. Safe Access Zone Legislation works to protect patients, practitioners and their staff. Legislated safe access zones are necessary to ensure the safety of staff and patients as well as protect people’s rights to access a medically necessary procedure without being subjected to intimidation, harassment and the </w:t>
      </w:r>
      <w:r w:rsidRPr="00190AE2">
        <w:lastRenderedPageBreak/>
        <w:t xml:space="preserve">threat of violence. </w:t>
      </w:r>
      <w:r w:rsidR="00304187">
        <w:t>Such legislation</w:t>
      </w:r>
      <w:r w:rsidRPr="00190AE2">
        <w:t xml:space="preserve"> aims to protect the safety of patients and healthcare providers and increasing access to abortion. Best practice requires this legislation to include provisions for all healthcare providers, including nurses, physicians, pharmacists and potentially midwives (as it does in the Province of Ontario). Only some Provinces have taken steps to rectify this situation by enacting legislation. </w:t>
      </w:r>
    </w:p>
    <w:p w14:paraId="2AD2401E" w14:textId="77777777" w:rsidR="00695D58" w:rsidRPr="00190AE2" w:rsidRDefault="00695D58" w:rsidP="00120EAE"/>
    <w:p w14:paraId="5EF28C00" w14:textId="77777777" w:rsidR="00120EAE" w:rsidRPr="00190AE2" w:rsidRDefault="00614B0F" w:rsidP="00120EAE">
      <w:pPr>
        <w:rPr>
          <w:b/>
        </w:rPr>
      </w:pPr>
      <w:r>
        <w:rPr>
          <w:b/>
        </w:rPr>
        <w:t xml:space="preserve">VAW </w:t>
      </w:r>
      <w:r w:rsidR="00695D58" w:rsidRPr="00190AE2">
        <w:rPr>
          <w:b/>
        </w:rPr>
        <w:t xml:space="preserve">Law Reform </w:t>
      </w:r>
      <w:r w:rsidR="00120EAE" w:rsidRPr="00190AE2">
        <w:rPr>
          <w:b/>
        </w:rPr>
        <w:t>Recommendation</w:t>
      </w:r>
      <w:r w:rsidR="00695D58" w:rsidRPr="00190AE2">
        <w:rPr>
          <w:b/>
        </w:rPr>
        <w:t xml:space="preserve"> #</w:t>
      </w:r>
      <w:r>
        <w:rPr>
          <w:b/>
        </w:rPr>
        <w:t>14</w:t>
      </w:r>
      <w:r w:rsidR="00120EAE" w:rsidRPr="00190AE2">
        <w:rPr>
          <w:b/>
        </w:rPr>
        <w:t>:</w:t>
      </w:r>
    </w:p>
    <w:p w14:paraId="19F1B252" w14:textId="55224708" w:rsidR="00614B0F" w:rsidRDefault="00614B0F" w:rsidP="00614B0F">
      <w:pPr>
        <w:spacing w:after="160" w:line="259" w:lineRule="auto"/>
        <w:ind w:left="720"/>
        <w:rPr>
          <w:rFonts w:cstheme="minorHAnsi"/>
          <w:b/>
        </w:rPr>
      </w:pPr>
    </w:p>
    <w:p w14:paraId="6852B0DA" w14:textId="2D0FB501" w:rsidR="00120EAE" w:rsidRPr="00614B0F" w:rsidRDefault="00695D58" w:rsidP="00614B0F">
      <w:pPr>
        <w:spacing w:after="160" w:line="259" w:lineRule="auto"/>
        <w:ind w:left="720"/>
        <w:rPr>
          <w:rFonts w:cstheme="minorHAnsi"/>
          <w:b/>
        </w:rPr>
      </w:pPr>
      <w:r w:rsidRPr="00614B0F">
        <w:rPr>
          <w:rFonts w:cstheme="minorHAnsi"/>
          <w:b/>
        </w:rPr>
        <w:t>T</w:t>
      </w:r>
      <w:r w:rsidR="00614B0F" w:rsidRPr="00614B0F">
        <w:rPr>
          <w:rFonts w:cstheme="minorHAnsi"/>
          <w:b/>
        </w:rPr>
        <w:t>hat t</w:t>
      </w:r>
      <w:r w:rsidRPr="00614B0F">
        <w:rPr>
          <w:rFonts w:cstheme="minorHAnsi"/>
          <w:b/>
        </w:rPr>
        <w:t>he Federal government w</w:t>
      </w:r>
      <w:r w:rsidR="00120EAE" w:rsidRPr="00614B0F">
        <w:rPr>
          <w:rFonts w:cstheme="minorHAnsi"/>
          <w:b/>
        </w:rPr>
        <w:t xml:space="preserve">ithhold </w:t>
      </w:r>
      <w:r w:rsidR="00304187">
        <w:rPr>
          <w:rFonts w:cstheme="minorHAnsi"/>
          <w:b/>
        </w:rPr>
        <w:t>c</w:t>
      </w:r>
      <w:r w:rsidR="00120EAE" w:rsidRPr="00614B0F">
        <w:rPr>
          <w:rFonts w:cstheme="minorHAnsi"/>
          <w:b/>
        </w:rPr>
        <w:t xml:space="preserve">ash </w:t>
      </w:r>
      <w:r w:rsidR="00304187">
        <w:rPr>
          <w:rFonts w:cstheme="minorHAnsi"/>
          <w:b/>
        </w:rPr>
        <w:t>c</w:t>
      </w:r>
      <w:r w:rsidR="00120EAE" w:rsidRPr="00614B0F">
        <w:rPr>
          <w:rFonts w:cstheme="minorHAnsi"/>
          <w:b/>
        </w:rPr>
        <w:t xml:space="preserve">ontributions and initiate dispute resolution procedures under sections 14-17 of the </w:t>
      </w:r>
      <w:r w:rsidR="00120EAE" w:rsidRPr="00614B0F">
        <w:rPr>
          <w:rFonts w:cstheme="minorHAnsi"/>
          <w:b/>
          <w:i/>
        </w:rPr>
        <w:t>Canada Health Act</w:t>
      </w:r>
      <w:r w:rsidR="00120EAE" w:rsidRPr="00614B0F">
        <w:rPr>
          <w:rFonts w:cstheme="minorHAnsi"/>
          <w:b/>
        </w:rPr>
        <w:t xml:space="preserve"> as violations of the program criteria established in sections 7, 10 and 12 of the Act for provinces and territories failing to ensure the availability and accessibility of abortion services, including failure to enact Safe Access Zone legislation. </w:t>
      </w:r>
    </w:p>
    <w:p w14:paraId="47579CD2" w14:textId="77777777" w:rsidR="00614B0F" w:rsidRDefault="00614B0F" w:rsidP="00912272">
      <w:pPr>
        <w:rPr>
          <w:b/>
        </w:rPr>
      </w:pPr>
    </w:p>
    <w:p w14:paraId="07280746" w14:textId="77777777" w:rsidR="00912272" w:rsidRPr="00190AE2" w:rsidRDefault="00614B0F" w:rsidP="00912272">
      <w:pPr>
        <w:rPr>
          <w:b/>
        </w:rPr>
      </w:pPr>
      <w:r>
        <w:rPr>
          <w:b/>
        </w:rPr>
        <w:t xml:space="preserve">VAW </w:t>
      </w:r>
      <w:r w:rsidR="00912272" w:rsidRPr="00190AE2">
        <w:rPr>
          <w:b/>
        </w:rPr>
        <w:t>Law Reform recommendation #</w:t>
      </w:r>
      <w:r>
        <w:rPr>
          <w:b/>
        </w:rPr>
        <w:t>15:</w:t>
      </w:r>
      <w:r w:rsidR="00843C03" w:rsidRPr="00190AE2">
        <w:rPr>
          <w:b/>
        </w:rPr>
        <w:t xml:space="preserve"> </w:t>
      </w:r>
    </w:p>
    <w:p w14:paraId="25ABB9E2" w14:textId="77777777" w:rsidR="00614B0F" w:rsidRPr="00425E7F" w:rsidRDefault="00614B0F" w:rsidP="00614B0F">
      <w:pPr>
        <w:pStyle w:val="Default"/>
        <w:ind w:left="1440"/>
        <w:rPr>
          <w:rFonts w:asciiTheme="minorHAnsi" w:hAnsiTheme="minorHAnsi"/>
          <w:b/>
          <w:color w:val="auto"/>
          <w:szCs w:val="23"/>
          <w:lang w:val="en-US"/>
        </w:rPr>
      </w:pPr>
    </w:p>
    <w:p w14:paraId="4806E872" w14:textId="4E9FC194" w:rsidR="00614B0F" w:rsidRPr="00425E7F" w:rsidRDefault="00614B0F" w:rsidP="00614B0F">
      <w:pPr>
        <w:pStyle w:val="Default"/>
        <w:ind w:firstLine="720"/>
        <w:rPr>
          <w:rFonts w:asciiTheme="minorHAnsi" w:hAnsiTheme="minorHAnsi"/>
          <w:b/>
          <w:color w:val="auto"/>
          <w:szCs w:val="23"/>
          <w:lang w:val="en-US"/>
        </w:rPr>
      </w:pPr>
      <w:r w:rsidRPr="00425E7F">
        <w:rPr>
          <w:rFonts w:asciiTheme="minorHAnsi" w:hAnsiTheme="minorHAnsi"/>
          <w:b/>
          <w:color w:val="auto"/>
          <w:szCs w:val="23"/>
          <w:lang w:val="en-US"/>
        </w:rPr>
        <w:t xml:space="preserve">That the </w:t>
      </w:r>
      <w:r w:rsidR="00304187">
        <w:rPr>
          <w:rFonts w:asciiTheme="minorHAnsi" w:hAnsiTheme="minorHAnsi"/>
          <w:b/>
          <w:color w:val="auto"/>
          <w:szCs w:val="23"/>
          <w:lang w:val="en-US"/>
        </w:rPr>
        <w:t>federal g</w:t>
      </w:r>
      <w:r w:rsidRPr="00425E7F">
        <w:rPr>
          <w:rFonts w:asciiTheme="minorHAnsi" w:hAnsiTheme="minorHAnsi"/>
          <w:b/>
          <w:color w:val="auto"/>
          <w:szCs w:val="23"/>
          <w:lang w:val="en-US"/>
        </w:rPr>
        <w:t xml:space="preserve">overnment: </w:t>
      </w:r>
    </w:p>
    <w:p w14:paraId="4C1032FB" w14:textId="77777777" w:rsidR="00912272" w:rsidRPr="00425E7F" w:rsidRDefault="00912272" w:rsidP="00614B0F">
      <w:pPr>
        <w:pStyle w:val="Default"/>
        <w:numPr>
          <w:ilvl w:val="0"/>
          <w:numId w:val="31"/>
        </w:numPr>
        <w:rPr>
          <w:rFonts w:asciiTheme="minorHAnsi" w:hAnsiTheme="minorHAnsi"/>
          <w:b/>
          <w:color w:val="auto"/>
          <w:szCs w:val="23"/>
          <w:lang w:val="en-US"/>
        </w:rPr>
      </w:pPr>
      <w:r w:rsidRPr="00425E7F">
        <w:rPr>
          <w:rFonts w:asciiTheme="minorHAnsi" w:hAnsiTheme="minorHAnsi"/>
          <w:b/>
          <w:szCs w:val="23"/>
          <w:lang w:val="en-US"/>
        </w:rPr>
        <w:t xml:space="preserve">Investigate allegations of forced or coerced sterilizations in Canada, with particular attention to cases involving Indigenous women and girls, ensuring justice and reparations to survivors and their families. </w:t>
      </w:r>
    </w:p>
    <w:p w14:paraId="2480B1A9" w14:textId="77777777" w:rsidR="00912272" w:rsidRPr="00425E7F" w:rsidRDefault="00912272" w:rsidP="00614B0F">
      <w:pPr>
        <w:pStyle w:val="Default"/>
        <w:numPr>
          <w:ilvl w:val="0"/>
          <w:numId w:val="31"/>
        </w:numPr>
        <w:rPr>
          <w:rFonts w:asciiTheme="minorHAnsi" w:hAnsiTheme="minorHAnsi"/>
          <w:b/>
          <w:color w:val="auto"/>
          <w:szCs w:val="23"/>
          <w:lang w:val="en-US"/>
        </w:rPr>
      </w:pPr>
      <w:r w:rsidRPr="00425E7F">
        <w:rPr>
          <w:rFonts w:asciiTheme="minorHAnsi" w:hAnsiTheme="minorHAnsi"/>
          <w:b/>
          <w:color w:val="auto"/>
          <w:szCs w:val="23"/>
          <w:lang w:val="en-US"/>
        </w:rPr>
        <w:t>Ensure non-repetition by changing government policies and practices to explicitly prohibit sterilization without free, full, and informed consent, and through the application of applicable criminal laws.</w:t>
      </w:r>
    </w:p>
    <w:p w14:paraId="782C5823" w14:textId="77777777" w:rsidR="00912272" w:rsidRPr="00425E7F" w:rsidRDefault="00912272" w:rsidP="00614B0F">
      <w:pPr>
        <w:pStyle w:val="Default"/>
        <w:numPr>
          <w:ilvl w:val="0"/>
          <w:numId w:val="31"/>
        </w:numPr>
        <w:rPr>
          <w:rFonts w:asciiTheme="minorHAnsi" w:hAnsiTheme="minorHAnsi"/>
          <w:b/>
          <w:color w:val="auto"/>
          <w:szCs w:val="23"/>
          <w:lang w:val="en-US"/>
        </w:rPr>
      </w:pPr>
      <w:r w:rsidRPr="00425E7F">
        <w:rPr>
          <w:rFonts w:asciiTheme="minorHAnsi" w:hAnsiTheme="minorHAnsi"/>
          <w:b/>
          <w:color w:val="auto"/>
          <w:szCs w:val="23"/>
          <w:lang w:val="en-US"/>
        </w:rPr>
        <w:t>Enforce healthcare professional accountability through medical college regulations.</w:t>
      </w:r>
    </w:p>
    <w:p w14:paraId="583E3C50" w14:textId="4ECD4C5E" w:rsidR="00912272" w:rsidRPr="00425E7F" w:rsidRDefault="005A3F32" w:rsidP="00614B0F">
      <w:pPr>
        <w:pStyle w:val="Default"/>
        <w:numPr>
          <w:ilvl w:val="0"/>
          <w:numId w:val="31"/>
        </w:numPr>
        <w:rPr>
          <w:rFonts w:asciiTheme="minorHAnsi" w:hAnsiTheme="minorHAnsi"/>
          <w:b/>
          <w:color w:val="auto"/>
          <w:szCs w:val="23"/>
          <w:lang w:val="en-US"/>
        </w:rPr>
      </w:pPr>
      <w:r>
        <w:rPr>
          <w:rFonts w:asciiTheme="minorHAnsi" w:hAnsiTheme="minorHAnsi"/>
          <w:b/>
          <w:color w:val="auto"/>
          <w:szCs w:val="23"/>
          <w:lang w:val="en-US"/>
        </w:rPr>
        <w:t>I</w:t>
      </w:r>
      <w:r w:rsidR="00912272" w:rsidRPr="00425E7F">
        <w:rPr>
          <w:rFonts w:asciiTheme="minorHAnsi" w:hAnsiTheme="minorHAnsi"/>
          <w:b/>
          <w:color w:val="auto"/>
          <w:szCs w:val="23"/>
          <w:lang w:val="en-US"/>
        </w:rPr>
        <w:t xml:space="preserve">mplement Truth and Reconciliation </w:t>
      </w:r>
      <w:r w:rsidR="00304187">
        <w:rPr>
          <w:rFonts w:asciiTheme="minorHAnsi" w:hAnsiTheme="minorHAnsi"/>
          <w:b/>
          <w:color w:val="auto"/>
          <w:szCs w:val="23"/>
          <w:lang w:val="en-US"/>
        </w:rPr>
        <w:t xml:space="preserve">Commission </w:t>
      </w:r>
      <w:r w:rsidR="00912272" w:rsidRPr="00425E7F">
        <w:rPr>
          <w:rFonts w:asciiTheme="minorHAnsi" w:hAnsiTheme="minorHAnsi"/>
          <w:b/>
          <w:color w:val="auto"/>
          <w:szCs w:val="23"/>
          <w:lang w:val="en-US"/>
        </w:rPr>
        <w:t>Calls to Action</w:t>
      </w:r>
      <w:r w:rsidR="00304187" w:rsidRPr="00BB0284">
        <w:rPr>
          <w:rStyle w:val="FootnoteReference"/>
          <w:rFonts w:asciiTheme="minorHAnsi" w:hAnsiTheme="minorHAnsi"/>
          <w:color w:val="auto"/>
          <w:szCs w:val="23"/>
          <w:lang w:val="en-US"/>
        </w:rPr>
        <w:footnoteReference w:id="31"/>
      </w:r>
      <w:r w:rsidR="00912272" w:rsidRPr="00425E7F">
        <w:rPr>
          <w:rFonts w:asciiTheme="minorHAnsi" w:hAnsiTheme="minorHAnsi"/>
          <w:b/>
          <w:color w:val="auto"/>
          <w:szCs w:val="23"/>
          <w:lang w:val="en-US"/>
        </w:rPr>
        <w:t xml:space="preserve"> 23 and 24 on increasing the number of Indigenous healthcare professionals and providing cultural competency training to all healthcare professionals</w:t>
      </w:r>
      <w:r w:rsidR="005708D2">
        <w:rPr>
          <w:rFonts w:asciiTheme="minorHAnsi" w:hAnsiTheme="minorHAnsi"/>
          <w:b/>
          <w:color w:val="auto"/>
          <w:szCs w:val="23"/>
          <w:lang w:val="en-US"/>
        </w:rPr>
        <w:t>.</w:t>
      </w:r>
      <w:r w:rsidR="00912272" w:rsidRPr="00425E7F">
        <w:rPr>
          <w:rFonts w:asciiTheme="minorHAnsi" w:hAnsiTheme="minorHAnsi"/>
          <w:b/>
          <w:color w:val="auto"/>
          <w:szCs w:val="23"/>
          <w:lang w:val="en-US"/>
        </w:rPr>
        <w:t xml:space="preserve"> </w:t>
      </w:r>
    </w:p>
    <w:p w14:paraId="495BB908" w14:textId="5ED6553A" w:rsidR="003448E1" w:rsidRDefault="003448E1" w:rsidP="00912272">
      <w:pPr>
        <w:pStyle w:val="Default"/>
        <w:rPr>
          <w:rFonts w:asciiTheme="minorHAnsi" w:hAnsiTheme="minorHAnsi"/>
          <w:color w:val="auto"/>
          <w:szCs w:val="23"/>
          <w:lang w:val="en-US"/>
        </w:rPr>
      </w:pPr>
    </w:p>
    <w:p w14:paraId="5F906C6F" w14:textId="77777777" w:rsidR="003448E1" w:rsidRPr="00190AE2" w:rsidRDefault="003448E1" w:rsidP="00912272">
      <w:pPr>
        <w:pStyle w:val="Default"/>
        <w:rPr>
          <w:rFonts w:asciiTheme="minorHAnsi" w:hAnsiTheme="minorHAnsi"/>
          <w:color w:val="auto"/>
          <w:szCs w:val="23"/>
          <w:lang w:val="en-US"/>
        </w:rPr>
      </w:pPr>
    </w:p>
    <w:p w14:paraId="4DB9DEAE" w14:textId="77777777" w:rsidR="00912272" w:rsidRPr="00E066DC" w:rsidRDefault="00425E7F" w:rsidP="00912272">
      <w:pPr>
        <w:pStyle w:val="Default"/>
        <w:rPr>
          <w:rFonts w:asciiTheme="minorHAnsi" w:hAnsiTheme="minorHAnsi"/>
          <w:b/>
          <w:color w:val="auto"/>
          <w:szCs w:val="23"/>
          <w:lang w:val="en-US"/>
        </w:rPr>
      </w:pPr>
      <w:r w:rsidRPr="00E066DC">
        <w:rPr>
          <w:rFonts w:asciiTheme="minorHAnsi" w:hAnsiTheme="minorHAnsi"/>
          <w:b/>
          <w:color w:val="auto"/>
          <w:szCs w:val="23"/>
          <w:lang w:val="en-US"/>
        </w:rPr>
        <w:t xml:space="preserve">VAW </w:t>
      </w:r>
      <w:r w:rsidR="00912272" w:rsidRPr="00E066DC">
        <w:rPr>
          <w:rFonts w:asciiTheme="minorHAnsi" w:hAnsiTheme="minorHAnsi"/>
          <w:b/>
          <w:color w:val="auto"/>
          <w:szCs w:val="23"/>
          <w:lang w:val="en-US"/>
        </w:rPr>
        <w:t>Law reform recommendation</w:t>
      </w:r>
      <w:r w:rsidR="00E066DC">
        <w:rPr>
          <w:rFonts w:asciiTheme="minorHAnsi" w:hAnsiTheme="minorHAnsi"/>
          <w:b/>
          <w:color w:val="auto"/>
          <w:szCs w:val="23"/>
          <w:lang w:val="en-US"/>
        </w:rPr>
        <w:t xml:space="preserve"> </w:t>
      </w:r>
      <w:r w:rsidR="00912272" w:rsidRPr="00E066DC">
        <w:rPr>
          <w:rFonts w:asciiTheme="minorHAnsi" w:hAnsiTheme="minorHAnsi"/>
          <w:b/>
          <w:color w:val="auto"/>
          <w:szCs w:val="23"/>
          <w:lang w:val="en-US"/>
        </w:rPr>
        <w:t>#</w:t>
      </w:r>
      <w:r w:rsidR="00E066DC">
        <w:rPr>
          <w:rFonts w:asciiTheme="minorHAnsi" w:hAnsiTheme="minorHAnsi"/>
          <w:b/>
          <w:color w:val="auto"/>
          <w:szCs w:val="23"/>
          <w:lang w:val="en-US"/>
        </w:rPr>
        <w:t>16:</w:t>
      </w:r>
    </w:p>
    <w:p w14:paraId="6EA09452" w14:textId="77777777" w:rsidR="00843C03" w:rsidRPr="00190AE2" w:rsidRDefault="00843C03" w:rsidP="00912272">
      <w:pPr>
        <w:pStyle w:val="Default"/>
        <w:rPr>
          <w:rFonts w:asciiTheme="minorHAnsi" w:hAnsiTheme="minorHAnsi"/>
          <w:szCs w:val="23"/>
          <w:lang w:val="en-US"/>
        </w:rPr>
      </w:pPr>
    </w:p>
    <w:p w14:paraId="21670933" w14:textId="77777777" w:rsidR="00843C03" w:rsidRPr="00190AE2" w:rsidRDefault="00E066DC" w:rsidP="00E066DC">
      <w:pPr>
        <w:pStyle w:val="Default"/>
        <w:ind w:left="720"/>
        <w:rPr>
          <w:rFonts w:asciiTheme="minorHAnsi" w:hAnsiTheme="minorHAnsi"/>
          <w:b/>
          <w:color w:val="auto"/>
          <w:szCs w:val="23"/>
          <w:lang w:val="en-US"/>
        </w:rPr>
      </w:pPr>
      <w:r>
        <w:rPr>
          <w:rFonts w:asciiTheme="minorHAnsi" w:hAnsiTheme="minorHAnsi"/>
          <w:b/>
          <w:color w:val="auto"/>
          <w:szCs w:val="23"/>
          <w:lang w:val="en-US"/>
        </w:rPr>
        <w:t xml:space="preserve">That </w:t>
      </w:r>
      <w:r w:rsidR="00912272" w:rsidRPr="00190AE2">
        <w:rPr>
          <w:rFonts w:asciiTheme="minorHAnsi" w:hAnsiTheme="minorHAnsi"/>
          <w:b/>
          <w:color w:val="auto"/>
          <w:szCs w:val="23"/>
          <w:lang w:val="en-US"/>
        </w:rPr>
        <w:t xml:space="preserve">intersex activists </w:t>
      </w:r>
      <w:r>
        <w:rPr>
          <w:rFonts w:asciiTheme="minorHAnsi" w:hAnsiTheme="minorHAnsi"/>
          <w:b/>
          <w:color w:val="auto"/>
          <w:szCs w:val="23"/>
          <w:lang w:val="en-US"/>
        </w:rPr>
        <w:t xml:space="preserve">are resourced </w:t>
      </w:r>
      <w:r w:rsidR="00912272" w:rsidRPr="00190AE2">
        <w:rPr>
          <w:rFonts w:asciiTheme="minorHAnsi" w:hAnsiTheme="minorHAnsi"/>
          <w:b/>
          <w:color w:val="auto"/>
          <w:szCs w:val="23"/>
          <w:lang w:val="en-US"/>
        </w:rPr>
        <w:t xml:space="preserve">to increase </w:t>
      </w:r>
      <w:r>
        <w:rPr>
          <w:rFonts w:asciiTheme="minorHAnsi" w:hAnsiTheme="minorHAnsi"/>
          <w:b/>
          <w:color w:val="auto"/>
          <w:szCs w:val="23"/>
          <w:lang w:val="en-US"/>
        </w:rPr>
        <w:t xml:space="preserve">their </w:t>
      </w:r>
      <w:r w:rsidR="00912272" w:rsidRPr="00190AE2">
        <w:rPr>
          <w:rFonts w:asciiTheme="minorHAnsi" w:hAnsiTheme="minorHAnsi"/>
          <w:b/>
          <w:color w:val="auto"/>
          <w:szCs w:val="23"/>
          <w:lang w:val="en-US"/>
        </w:rPr>
        <w:t>capacity to convene, strategize, and develop recommendations to end the practice of unnecessary surgeries and other medical interventions conducted on children and youth without their free, full, and informed consent.</w:t>
      </w:r>
      <w:r>
        <w:rPr>
          <w:rFonts w:asciiTheme="minorHAnsi" w:hAnsiTheme="minorHAnsi"/>
          <w:b/>
          <w:color w:val="auto"/>
          <w:szCs w:val="23"/>
          <w:lang w:val="en-US"/>
        </w:rPr>
        <w:t xml:space="preserve">  </w:t>
      </w:r>
    </w:p>
    <w:p w14:paraId="08D8A34D" w14:textId="77777777" w:rsidR="00843C03" w:rsidRPr="00190AE2" w:rsidRDefault="00843C03" w:rsidP="00843C03">
      <w:pPr>
        <w:pStyle w:val="Default"/>
        <w:rPr>
          <w:rFonts w:asciiTheme="minorHAnsi" w:hAnsiTheme="minorHAnsi"/>
          <w:b/>
          <w:color w:val="auto"/>
          <w:szCs w:val="23"/>
          <w:lang w:val="en-US"/>
        </w:rPr>
      </w:pPr>
    </w:p>
    <w:p w14:paraId="79FD762B" w14:textId="34F79FEB" w:rsidR="00E066DC" w:rsidRDefault="00E066DC" w:rsidP="00E066DC">
      <w:pPr>
        <w:pStyle w:val="Default"/>
        <w:ind w:left="720"/>
        <w:rPr>
          <w:rFonts w:asciiTheme="minorHAnsi" w:hAnsiTheme="minorHAnsi"/>
          <w:b/>
          <w:color w:val="auto"/>
          <w:szCs w:val="23"/>
          <w:lang w:val="en-US"/>
        </w:rPr>
      </w:pPr>
    </w:p>
    <w:p w14:paraId="1ABED82F" w14:textId="26784670" w:rsidR="005708D2" w:rsidRDefault="005708D2" w:rsidP="00E066DC">
      <w:pPr>
        <w:pStyle w:val="Default"/>
        <w:ind w:left="720"/>
        <w:rPr>
          <w:rFonts w:asciiTheme="minorHAnsi" w:hAnsiTheme="minorHAnsi"/>
          <w:b/>
          <w:color w:val="auto"/>
          <w:szCs w:val="23"/>
          <w:lang w:val="en-US"/>
        </w:rPr>
      </w:pPr>
    </w:p>
    <w:p w14:paraId="6F32F57A" w14:textId="77777777" w:rsidR="005708D2" w:rsidRDefault="005708D2" w:rsidP="00E066DC">
      <w:pPr>
        <w:pStyle w:val="Default"/>
        <w:ind w:left="720"/>
        <w:rPr>
          <w:rFonts w:asciiTheme="minorHAnsi" w:hAnsiTheme="minorHAnsi"/>
          <w:b/>
          <w:color w:val="auto"/>
          <w:szCs w:val="23"/>
          <w:lang w:val="en-US"/>
        </w:rPr>
      </w:pPr>
    </w:p>
    <w:p w14:paraId="0BAB4E7A" w14:textId="77777777" w:rsidR="00E066DC" w:rsidRDefault="00E066DC" w:rsidP="00E066DC">
      <w:pPr>
        <w:pStyle w:val="Default"/>
        <w:rPr>
          <w:rFonts w:asciiTheme="minorHAnsi" w:hAnsiTheme="minorHAnsi"/>
          <w:b/>
          <w:color w:val="auto"/>
          <w:szCs w:val="23"/>
          <w:lang w:val="en-US"/>
        </w:rPr>
      </w:pPr>
      <w:r w:rsidRPr="00E066DC">
        <w:rPr>
          <w:rFonts w:asciiTheme="minorHAnsi" w:hAnsiTheme="minorHAnsi"/>
          <w:b/>
          <w:color w:val="auto"/>
          <w:szCs w:val="23"/>
          <w:lang w:val="en-US"/>
        </w:rPr>
        <w:lastRenderedPageBreak/>
        <w:t>VAW Law reform recommendation #</w:t>
      </w:r>
      <w:r>
        <w:rPr>
          <w:rFonts w:asciiTheme="minorHAnsi" w:hAnsiTheme="minorHAnsi"/>
          <w:b/>
          <w:color w:val="auto"/>
          <w:szCs w:val="23"/>
          <w:lang w:val="en-US"/>
        </w:rPr>
        <w:t>17:</w:t>
      </w:r>
    </w:p>
    <w:p w14:paraId="45EE65BA" w14:textId="77777777" w:rsidR="00E066DC" w:rsidRDefault="00E066DC" w:rsidP="00E066DC">
      <w:pPr>
        <w:pStyle w:val="Default"/>
        <w:rPr>
          <w:rFonts w:asciiTheme="minorHAnsi" w:hAnsiTheme="minorHAnsi"/>
          <w:b/>
          <w:color w:val="auto"/>
          <w:szCs w:val="23"/>
          <w:lang w:val="en-US"/>
        </w:rPr>
      </w:pPr>
    </w:p>
    <w:p w14:paraId="65C16E61" w14:textId="77777777" w:rsidR="00912272" w:rsidRPr="00190AE2" w:rsidRDefault="00E066DC" w:rsidP="00E066DC">
      <w:pPr>
        <w:pStyle w:val="Default"/>
        <w:ind w:left="720"/>
        <w:rPr>
          <w:rFonts w:asciiTheme="minorHAnsi" w:hAnsiTheme="minorHAnsi"/>
          <w:b/>
          <w:color w:val="auto"/>
          <w:szCs w:val="23"/>
          <w:lang w:val="en-US"/>
        </w:rPr>
      </w:pPr>
      <w:r>
        <w:rPr>
          <w:rFonts w:asciiTheme="minorHAnsi" w:hAnsiTheme="minorHAnsi"/>
          <w:b/>
          <w:color w:val="auto"/>
          <w:szCs w:val="23"/>
          <w:lang w:val="en-US"/>
        </w:rPr>
        <w:t>Tha</w:t>
      </w:r>
      <w:r w:rsidR="00912272" w:rsidRPr="00190AE2">
        <w:rPr>
          <w:rFonts w:asciiTheme="minorHAnsi" w:hAnsiTheme="minorHAnsi"/>
          <w:b/>
          <w:color w:val="auto"/>
          <w:szCs w:val="23"/>
          <w:lang w:val="en-US"/>
        </w:rPr>
        <w:t xml:space="preserve">t </w:t>
      </w:r>
      <w:r>
        <w:rPr>
          <w:rFonts w:asciiTheme="minorHAnsi" w:hAnsiTheme="minorHAnsi"/>
          <w:b/>
          <w:color w:val="auto"/>
          <w:szCs w:val="23"/>
          <w:lang w:val="en-US"/>
        </w:rPr>
        <w:t xml:space="preserve">at </w:t>
      </w:r>
      <w:r w:rsidR="00912272" w:rsidRPr="00190AE2">
        <w:rPr>
          <w:rFonts w:asciiTheme="minorHAnsi" w:hAnsiTheme="minorHAnsi"/>
          <w:b/>
          <w:color w:val="auto"/>
          <w:szCs w:val="23"/>
          <w:lang w:val="en-US"/>
        </w:rPr>
        <w:t xml:space="preserve">a minimum, </w:t>
      </w:r>
      <w:r>
        <w:rPr>
          <w:rFonts w:asciiTheme="minorHAnsi" w:hAnsiTheme="minorHAnsi"/>
          <w:b/>
          <w:color w:val="auto"/>
          <w:szCs w:val="23"/>
          <w:lang w:val="en-US"/>
        </w:rPr>
        <w:t xml:space="preserve">the Canadian government </w:t>
      </w:r>
      <w:r w:rsidR="00912272" w:rsidRPr="00190AE2">
        <w:rPr>
          <w:rFonts w:asciiTheme="minorHAnsi" w:hAnsiTheme="minorHAnsi"/>
          <w:b/>
          <w:color w:val="auto"/>
          <w:szCs w:val="23"/>
          <w:lang w:val="en-US"/>
        </w:rPr>
        <w:t>change policies and practices to ensure that free, full, and informed consent is obtained from children and youth in relations to healthcare decisions.</w:t>
      </w:r>
    </w:p>
    <w:p w14:paraId="48B468F6" w14:textId="77777777" w:rsidR="00912272" w:rsidRPr="00190AE2" w:rsidRDefault="00912272" w:rsidP="00912272">
      <w:pPr>
        <w:pStyle w:val="Default"/>
        <w:rPr>
          <w:rFonts w:asciiTheme="minorHAnsi" w:hAnsiTheme="minorHAnsi"/>
          <w:b/>
          <w:color w:val="auto"/>
          <w:szCs w:val="23"/>
          <w:lang w:val="en-US"/>
        </w:rPr>
      </w:pPr>
    </w:p>
    <w:p w14:paraId="4C2B8A85" w14:textId="77777777" w:rsidR="00E066DC" w:rsidRDefault="00E066DC" w:rsidP="00E066DC">
      <w:pPr>
        <w:spacing w:after="160" w:line="259" w:lineRule="auto"/>
      </w:pPr>
    </w:p>
    <w:p w14:paraId="3D6DF266" w14:textId="77777777" w:rsidR="008B525B" w:rsidRDefault="008B525B" w:rsidP="00E066DC">
      <w:pPr>
        <w:pStyle w:val="ListParagraph"/>
        <w:numPr>
          <w:ilvl w:val="0"/>
          <w:numId w:val="30"/>
        </w:numPr>
        <w:spacing w:after="160" w:line="259" w:lineRule="auto"/>
        <w:rPr>
          <w:b/>
          <w:u w:val="single"/>
        </w:rPr>
      </w:pPr>
      <w:bookmarkStart w:id="3" w:name="_Hlk512022470"/>
      <w:r w:rsidRPr="00E066DC">
        <w:rPr>
          <w:b/>
          <w:u w:val="single"/>
        </w:rPr>
        <w:t xml:space="preserve">Violence against women in </w:t>
      </w:r>
      <w:r w:rsidR="00E066DC" w:rsidRPr="00E066DC">
        <w:rPr>
          <w:b/>
          <w:u w:val="single"/>
        </w:rPr>
        <w:t>d</w:t>
      </w:r>
      <w:r w:rsidRPr="00E066DC">
        <w:rPr>
          <w:b/>
          <w:u w:val="single"/>
        </w:rPr>
        <w:t>etentio</w:t>
      </w:r>
      <w:r w:rsidR="00E066DC" w:rsidRPr="00E066DC">
        <w:rPr>
          <w:b/>
          <w:u w:val="single"/>
        </w:rPr>
        <w:t>n</w:t>
      </w:r>
    </w:p>
    <w:p w14:paraId="320484B0" w14:textId="413FC26A" w:rsidR="00796576" w:rsidRPr="00A61841" w:rsidRDefault="00796576" w:rsidP="00796576">
      <w:pPr>
        <w:rPr>
          <w:rFonts w:eastAsia="Times New Roman" w:cs="Times New Roman"/>
          <w:lang w:val="en-CA"/>
        </w:rPr>
      </w:pPr>
      <w:r w:rsidRPr="00796576">
        <w:rPr>
          <w:rFonts w:eastAsia="Times New Roman" w:cs="Times New Roman"/>
          <w:lang w:val="en-CA"/>
        </w:rPr>
        <w:t>Women in detention are impacted by every theme reflected in the</w:t>
      </w:r>
      <w:r>
        <w:rPr>
          <w:rFonts w:eastAsia="Times New Roman" w:cs="Times New Roman"/>
          <w:lang w:val="en-CA"/>
        </w:rPr>
        <w:t xml:space="preserve"> preceding</w:t>
      </w:r>
      <w:r w:rsidRPr="00796576">
        <w:rPr>
          <w:rFonts w:eastAsia="Times New Roman" w:cs="Times New Roman"/>
          <w:lang w:val="en-CA"/>
        </w:rPr>
        <w:t xml:space="preserve"> recommendations. What distinguishes women in detention is that the perpetuator of the aggressions they face is </w:t>
      </w:r>
      <w:r w:rsidR="0079140A">
        <w:rPr>
          <w:rFonts w:eastAsia="Times New Roman" w:cs="Times New Roman"/>
          <w:lang w:val="en-CA"/>
        </w:rPr>
        <w:t>the state</w:t>
      </w:r>
      <w:r w:rsidRPr="00796576">
        <w:rPr>
          <w:rFonts w:eastAsia="Times New Roman" w:cs="Times New Roman"/>
          <w:lang w:val="en-CA"/>
        </w:rPr>
        <w:t xml:space="preserve">. Strip searching, segregation, over-policing and imprisonment of Indigenous women are all acts of state sanctioned violence against women. </w:t>
      </w:r>
      <w:r>
        <w:rPr>
          <w:rFonts w:eastAsia="Times New Roman" w:cs="Times New Roman"/>
          <w:lang w:val="en-CA"/>
        </w:rPr>
        <w:t>The recommendations that follow focus on t</w:t>
      </w:r>
      <w:r w:rsidRPr="00796576">
        <w:rPr>
          <w:rFonts w:eastAsia="Times New Roman" w:cs="Times New Roman"/>
          <w:lang w:val="en-CA"/>
        </w:rPr>
        <w:t xml:space="preserve">hree specific </w:t>
      </w:r>
      <w:r>
        <w:rPr>
          <w:rFonts w:eastAsia="Times New Roman" w:cs="Times New Roman"/>
          <w:lang w:val="en-CA"/>
        </w:rPr>
        <w:t>issues,</w:t>
      </w:r>
      <w:r w:rsidRPr="00796576">
        <w:rPr>
          <w:rFonts w:eastAsia="Times New Roman" w:cs="Times New Roman"/>
          <w:lang w:val="en-CA"/>
        </w:rPr>
        <w:t xml:space="preserve"> ending the practices o</w:t>
      </w:r>
      <w:r>
        <w:rPr>
          <w:rFonts w:eastAsia="Times New Roman" w:cs="Times New Roman"/>
          <w:lang w:val="en-CA"/>
        </w:rPr>
        <w:t xml:space="preserve">f </w:t>
      </w:r>
      <w:r w:rsidR="00304187">
        <w:rPr>
          <w:rFonts w:eastAsia="Times New Roman" w:cs="Times New Roman"/>
          <w:lang w:val="en-CA"/>
        </w:rPr>
        <w:t xml:space="preserve">strip searching; </w:t>
      </w:r>
      <w:r w:rsidRPr="00796576">
        <w:rPr>
          <w:rFonts w:eastAsia="Times New Roman" w:cs="Times New Roman"/>
          <w:lang w:val="en-CA"/>
        </w:rPr>
        <w:t>segregation</w:t>
      </w:r>
      <w:r>
        <w:rPr>
          <w:rFonts w:eastAsia="Times New Roman" w:cs="Times New Roman"/>
          <w:lang w:val="en-CA"/>
        </w:rPr>
        <w:t>;</w:t>
      </w:r>
      <w:r w:rsidRPr="00796576">
        <w:rPr>
          <w:rFonts w:eastAsia="Times New Roman" w:cs="Times New Roman"/>
          <w:lang w:val="en-CA"/>
        </w:rPr>
        <w:t xml:space="preserve"> and begin</w:t>
      </w:r>
      <w:r>
        <w:rPr>
          <w:rFonts w:eastAsia="Times New Roman" w:cs="Times New Roman"/>
          <w:lang w:val="en-CA"/>
        </w:rPr>
        <w:t>ning</w:t>
      </w:r>
      <w:r w:rsidRPr="00796576">
        <w:rPr>
          <w:rFonts w:eastAsia="Times New Roman" w:cs="Times New Roman"/>
          <w:lang w:val="en-CA"/>
        </w:rPr>
        <w:t xml:space="preserve"> the </w:t>
      </w:r>
      <w:proofErr w:type="spellStart"/>
      <w:r w:rsidRPr="00796576">
        <w:rPr>
          <w:rFonts w:eastAsia="Times New Roman" w:cs="Times New Roman"/>
          <w:lang w:val="en-CA"/>
        </w:rPr>
        <w:t>decarceration</w:t>
      </w:r>
      <w:proofErr w:type="spellEnd"/>
      <w:r w:rsidRPr="00796576">
        <w:rPr>
          <w:rFonts w:eastAsia="Times New Roman" w:cs="Times New Roman"/>
          <w:lang w:val="en-CA"/>
        </w:rPr>
        <w:t xml:space="preserve"> of Indigenous women</w:t>
      </w:r>
      <w:r w:rsidR="00304187">
        <w:rPr>
          <w:rFonts w:eastAsia="Times New Roman" w:cs="Times New Roman"/>
          <w:lang w:val="en-CA"/>
        </w:rPr>
        <w:t>,</w:t>
      </w:r>
      <w:r w:rsidR="007A3FE8">
        <w:rPr>
          <w:rFonts w:eastAsia="Times New Roman" w:cs="Times New Roman"/>
          <w:lang w:val="en-CA"/>
        </w:rPr>
        <w:t xml:space="preserve"> in accordance with Canada’s international human rights </w:t>
      </w:r>
      <w:r w:rsidR="00B56284">
        <w:rPr>
          <w:rFonts w:eastAsia="Times New Roman" w:cs="Times New Roman"/>
          <w:lang w:val="en-CA"/>
        </w:rPr>
        <w:t>treaty</w:t>
      </w:r>
      <w:r w:rsidR="007A3FE8">
        <w:rPr>
          <w:rFonts w:eastAsia="Times New Roman" w:cs="Times New Roman"/>
          <w:lang w:val="en-CA"/>
        </w:rPr>
        <w:t xml:space="preserve"> obligations, including of the UN </w:t>
      </w:r>
      <w:r w:rsidR="007A3FE8" w:rsidRPr="00525F62">
        <w:rPr>
          <w:bCs/>
          <w:i/>
          <w:color w:val="303030"/>
        </w:rPr>
        <w:t>Convention against Torture and Other Cruel, Inhuman or Degrading Treatment or Punishment</w:t>
      </w:r>
      <w:r w:rsidR="00304187">
        <w:rPr>
          <w:rFonts w:eastAsia="Times New Roman" w:cs="Times New Roman"/>
          <w:lang w:val="en-CA"/>
        </w:rPr>
        <w:t>,</w:t>
      </w:r>
      <w:r w:rsidR="007A3FE8">
        <w:rPr>
          <w:rStyle w:val="FootnoteReference"/>
          <w:rFonts w:eastAsia="Times New Roman" w:cs="Times New Roman"/>
          <w:lang w:val="en-CA"/>
        </w:rPr>
        <w:footnoteReference w:id="32"/>
      </w:r>
      <w:r w:rsidR="00304187">
        <w:rPr>
          <w:rFonts w:eastAsia="Times New Roman" w:cs="Times New Roman"/>
          <w:lang w:val="en-CA"/>
        </w:rPr>
        <w:t xml:space="preserve"> and in accordance with Canada’s domestic obligations</w:t>
      </w:r>
      <w:r w:rsidR="00A61841">
        <w:rPr>
          <w:rFonts w:eastAsia="Times New Roman" w:cs="Times New Roman"/>
          <w:lang w:val="en-CA"/>
        </w:rPr>
        <w:t xml:space="preserve"> including following the</w:t>
      </w:r>
      <w:r w:rsidRPr="007A3FE8">
        <w:rPr>
          <w:rFonts w:eastAsia="Times New Roman" w:cs="Times New Roman"/>
          <w:lang w:val="en-CA"/>
        </w:rPr>
        <w:t xml:space="preserve"> </w:t>
      </w:r>
      <w:r w:rsidR="00A61841">
        <w:rPr>
          <w:rFonts w:eastAsia="Times New Roman" w:cs="Times New Roman"/>
          <w:i/>
          <w:lang w:val="en-CA"/>
        </w:rPr>
        <w:t>Gladue</w:t>
      </w:r>
      <w:r w:rsidR="00A61841">
        <w:rPr>
          <w:rStyle w:val="FootnoteReference"/>
          <w:rFonts w:eastAsia="Times New Roman" w:cs="Times New Roman"/>
          <w:i/>
          <w:lang w:val="en-CA"/>
        </w:rPr>
        <w:footnoteReference w:id="33"/>
      </w:r>
      <w:r w:rsidR="00A61841">
        <w:rPr>
          <w:rFonts w:eastAsia="Times New Roman" w:cs="Times New Roman"/>
          <w:lang w:val="en-CA"/>
        </w:rPr>
        <w:t xml:space="preserve"> principles.</w:t>
      </w:r>
    </w:p>
    <w:p w14:paraId="72631BF1" w14:textId="429CBA69" w:rsidR="00843C03" w:rsidRDefault="00843C03" w:rsidP="00843C03">
      <w:pPr>
        <w:rPr>
          <w:rFonts w:eastAsia="Times New Roman" w:cs="Times New Roman"/>
          <w:i/>
          <w:iCs/>
          <w:lang w:val="en-CA"/>
        </w:rPr>
      </w:pPr>
    </w:p>
    <w:p w14:paraId="5F33DBBE" w14:textId="77777777" w:rsidR="00843C03" w:rsidRPr="00796576" w:rsidRDefault="00843C03" w:rsidP="00796576">
      <w:pPr>
        <w:rPr>
          <w:lang w:val="en-CA"/>
        </w:rPr>
      </w:pPr>
      <w:proofErr w:type="spellStart"/>
      <w:r w:rsidRPr="00796576">
        <w:rPr>
          <w:rFonts w:eastAsia="Times New Roman" w:cs="Times New Roman"/>
          <w:b/>
          <w:bCs/>
          <w:lang w:val="en-CA"/>
        </w:rPr>
        <w:t>Decarceration</w:t>
      </w:r>
      <w:proofErr w:type="spellEnd"/>
    </w:p>
    <w:p w14:paraId="6381F724" w14:textId="77777777" w:rsidR="00843C03" w:rsidRPr="00190AE2" w:rsidRDefault="00843C03" w:rsidP="00843C03">
      <w:pPr>
        <w:pStyle w:val="ListParagraph"/>
        <w:rPr>
          <w:lang w:val="en-CA"/>
        </w:rPr>
      </w:pPr>
    </w:p>
    <w:p w14:paraId="0BF3083B" w14:textId="06F6E24B" w:rsidR="00843C03" w:rsidRPr="00190AE2" w:rsidRDefault="00843C03" w:rsidP="00843C03">
      <w:pPr>
        <w:rPr>
          <w:rFonts w:eastAsia="Times New Roman" w:cs="Times New Roman"/>
          <w:lang w:val="en-CA"/>
        </w:rPr>
      </w:pPr>
      <w:r w:rsidRPr="00190AE2">
        <w:rPr>
          <w:rFonts w:eastAsia="Times New Roman" w:cs="Times New Roman"/>
          <w:lang w:val="en-CA"/>
        </w:rPr>
        <w:t xml:space="preserve">The prison system in Canada upholds practices that are cruel, inhumane and degrading to women. It reinforces a societal model of state sanctioned violence against women and must be held accountable through oversight and eventual abolition in favour of community-based models of support and rehabilitation. </w:t>
      </w:r>
      <w:r w:rsidR="008B0C1C">
        <w:rPr>
          <w:rFonts w:eastAsia="Times New Roman" w:cs="Times New Roman"/>
          <w:lang w:val="en-CA"/>
        </w:rPr>
        <w:t xml:space="preserve"> </w:t>
      </w:r>
      <w:r w:rsidRPr="00190AE2">
        <w:rPr>
          <w:rFonts w:eastAsia="Times New Roman" w:cs="Times New Roman"/>
          <w:lang w:val="en-CA"/>
        </w:rPr>
        <w:t xml:space="preserve">Why do prisons not work for women? Criminalized women are far more likely to have experienced abuse than are other women, and </w:t>
      </w:r>
      <w:r w:rsidR="00A61841">
        <w:rPr>
          <w:rFonts w:eastAsia="Times New Roman" w:cs="Times New Roman"/>
          <w:lang w:val="en-CA"/>
        </w:rPr>
        <w:t>Indigenous</w:t>
      </w:r>
      <w:r w:rsidRPr="00190AE2">
        <w:rPr>
          <w:rFonts w:eastAsia="Times New Roman" w:cs="Times New Roman"/>
          <w:lang w:val="en-CA"/>
        </w:rPr>
        <w:t xml:space="preserve"> women are more likely than non-</w:t>
      </w:r>
      <w:r w:rsidR="00A61841">
        <w:rPr>
          <w:rFonts w:eastAsia="Times New Roman" w:cs="Times New Roman"/>
          <w:lang w:val="en-CA"/>
        </w:rPr>
        <w:t>Indigenous</w:t>
      </w:r>
      <w:r w:rsidRPr="00190AE2">
        <w:rPr>
          <w:rFonts w:eastAsia="Times New Roman" w:cs="Times New Roman"/>
          <w:lang w:val="en-CA"/>
        </w:rPr>
        <w:t xml:space="preserve"> women to have histories of abuse. Since the prison environment reinforces feelings of powerlessness, extreme power imbalances and unpredictability, it can trigger flashbacks and other post-traumatic effects of abuse such as dissociation, anger and self-harm. Prison can revive controlling aspects and experiences of </w:t>
      </w:r>
      <w:r w:rsidRPr="00190AE2">
        <w:rPr>
          <w:rFonts w:eastAsia="Times New Roman" w:cs="Times New Roman"/>
          <w:lang w:val="en-CA"/>
        </w:rPr>
        <w:lastRenderedPageBreak/>
        <w:t>abuse and feelings of loss of control and power over their lives.</w:t>
      </w:r>
      <w:r w:rsidR="008B0C1C">
        <w:rPr>
          <w:rFonts w:eastAsia="Times New Roman" w:cs="Times New Roman"/>
          <w:lang w:val="en-CA"/>
        </w:rPr>
        <w:t xml:space="preserve">  </w:t>
      </w:r>
      <w:r w:rsidRPr="00190AE2">
        <w:rPr>
          <w:rFonts w:eastAsia="Times New Roman" w:cs="Times New Roman"/>
          <w:lang w:val="en-CA"/>
        </w:rPr>
        <w:t>Once inside prison, women are subjected to further physical, sexual and psychological abuse at the hands of the state. On October 19, 2007, 19-year-old Ashley Smith was found dead in her</w:t>
      </w:r>
      <w:r w:rsidR="008B0C1C">
        <w:rPr>
          <w:rFonts w:eastAsia="Times New Roman" w:cs="Times New Roman"/>
          <w:lang w:val="en-CA"/>
        </w:rPr>
        <w:t xml:space="preserve"> </w:t>
      </w:r>
      <w:r w:rsidRPr="00190AE2">
        <w:rPr>
          <w:rFonts w:eastAsia="Times New Roman" w:cs="Times New Roman"/>
          <w:lang w:val="en-CA"/>
        </w:rPr>
        <w:t>segregation cell. Eight staff members were disciplined and five were charged as a result of</w:t>
      </w:r>
      <w:r w:rsidR="008B0C1C">
        <w:rPr>
          <w:rFonts w:eastAsia="Times New Roman" w:cs="Times New Roman"/>
          <w:lang w:val="en-CA"/>
        </w:rPr>
        <w:t xml:space="preserve"> </w:t>
      </w:r>
      <w:r w:rsidRPr="00190AE2">
        <w:rPr>
          <w:rFonts w:eastAsia="Times New Roman" w:cs="Times New Roman"/>
          <w:lang w:val="en-CA"/>
        </w:rPr>
        <w:t>their alleged assaults or criminal negligence in relation to her death. Although the charges</w:t>
      </w:r>
      <w:r w:rsidR="008B0C1C">
        <w:rPr>
          <w:rFonts w:eastAsia="Times New Roman" w:cs="Times New Roman"/>
          <w:lang w:val="en-CA"/>
        </w:rPr>
        <w:t xml:space="preserve"> </w:t>
      </w:r>
      <w:r w:rsidRPr="00190AE2">
        <w:rPr>
          <w:rFonts w:eastAsia="Times New Roman" w:cs="Times New Roman"/>
          <w:lang w:val="en-CA"/>
        </w:rPr>
        <w:t>were stayed because of CSC’s administrative direction to staff not to assist Ashley, the jury at</w:t>
      </w:r>
      <w:r w:rsidR="008B0C1C">
        <w:rPr>
          <w:rFonts w:eastAsia="Times New Roman" w:cs="Times New Roman"/>
          <w:lang w:val="en-CA"/>
        </w:rPr>
        <w:t xml:space="preserve"> </w:t>
      </w:r>
      <w:r w:rsidRPr="00190AE2">
        <w:rPr>
          <w:rFonts w:eastAsia="Times New Roman" w:cs="Times New Roman"/>
          <w:lang w:val="en-CA"/>
        </w:rPr>
        <w:t>the inquest into her death ruled her death a homicide and made 104 recommendations as a</w:t>
      </w:r>
      <w:r w:rsidR="008B0C1C">
        <w:rPr>
          <w:rFonts w:eastAsia="Times New Roman" w:cs="Times New Roman"/>
          <w:lang w:val="en-CA"/>
        </w:rPr>
        <w:t xml:space="preserve"> </w:t>
      </w:r>
      <w:r w:rsidRPr="00190AE2">
        <w:rPr>
          <w:rFonts w:eastAsia="Times New Roman" w:cs="Times New Roman"/>
          <w:lang w:val="en-CA"/>
        </w:rPr>
        <w:t>result of the inquest.</w:t>
      </w:r>
    </w:p>
    <w:p w14:paraId="058F8558" w14:textId="77777777" w:rsidR="00843C03" w:rsidRPr="00190AE2" w:rsidRDefault="00843C03" w:rsidP="00843C03">
      <w:pPr>
        <w:rPr>
          <w:rFonts w:eastAsia="Times New Roman" w:cs="Times New Roman"/>
          <w:lang w:val="en-CA"/>
        </w:rPr>
      </w:pPr>
    </w:p>
    <w:p w14:paraId="5BCC8BEB" w14:textId="0D0665A1" w:rsidR="00843C03" w:rsidRDefault="00843C03" w:rsidP="00843C03">
      <w:pPr>
        <w:rPr>
          <w:rFonts w:eastAsia="Times New Roman" w:cs="Times New Roman"/>
          <w:lang w:val="en-CA"/>
        </w:rPr>
      </w:pPr>
      <w:r w:rsidRPr="00190AE2">
        <w:rPr>
          <w:rFonts w:eastAsia="Times New Roman" w:cs="Times New Roman"/>
          <w:lang w:val="en-CA"/>
        </w:rPr>
        <w:t xml:space="preserve">Prisons do not work, especially if you are Indigenous. Indigenous women represent 39% of incarcerated women in Canada even though they account for 4% of the overall population. Of that number more that 50% are classified as maximum security (segregation within prison) and as a result have limited to no access to programs, education, training including specific pieces of legislation that would allow them to seek alternatives to incarceration. Canada has legislation that allows for the </w:t>
      </w:r>
      <w:proofErr w:type="spellStart"/>
      <w:r w:rsidRPr="00190AE2">
        <w:rPr>
          <w:rFonts w:eastAsia="Times New Roman" w:cs="Times New Roman"/>
          <w:lang w:val="en-CA"/>
        </w:rPr>
        <w:t>decarceration</w:t>
      </w:r>
      <w:proofErr w:type="spellEnd"/>
      <w:r w:rsidRPr="00190AE2">
        <w:rPr>
          <w:rFonts w:eastAsia="Times New Roman" w:cs="Times New Roman"/>
          <w:lang w:val="en-CA"/>
        </w:rPr>
        <w:t xml:space="preserve"> of prisoners, yet it is hardly ever used. </w:t>
      </w:r>
      <w:r w:rsidR="0022578A">
        <w:rPr>
          <w:rFonts w:eastAsia="Times New Roman" w:cs="Times New Roman"/>
          <w:lang w:val="en-CA"/>
        </w:rPr>
        <w:t xml:space="preserve"> </w:t>
      </w:r>
      <w:r w:rsidRPr="00190AE2">
        <w:rPr>
          <w:rFonts w:eastAsia="Times New Roman" w:cs="Times New Roman"/>
          <w:lang w:val="en-CA"/>
        </w:rPr>
        <w:t xml:space="preserve">Canada's own </w:t>
      </w:r>
      <w:bookmarkStart w:id="5" w:name="_Hlk512235765"/>
      <w:r w:rsidRPr="00190AE2">
        <w:rPr>
          <w:rFonts w:eastAsia="Times New Roman" w:cs="Times New Roman"/>
          <w:lang w:val="en-CA"/>
        </w:rPr>
        <w:t>Truth and Reconciliation Commission</w:t>
      </w:r>
      <w:bookmarkEnd w:id="5"/>
      <w:r w:rsidRPr="00190AE2">
        <w:rPr>
          <w:rFonts w:eastAsia="Times New Roman" w:cs="Times New Roman"/>
          <w:lang w:val="en-CA"/>
        </w:rPr>
        <w:t xml:space="preserve"> made the recommendation</w:t>
      </w:r>
      <w:r w:rsidR="00A61841">
        <w:rPr>
          <w:rStyle w:val="FootnoteReference"/>
          <w:rFonts w:eastAsia="Times New Roman" w:cs="Times New Roman"/>
          <w:lang w:val="en-CA"/>
        </w:rPr>
        <w:footnoteReference w:id="34"/>
      </w:r>
      <w:r w:rsidRPr="00190AE2">
        <w:rPr>
          <w:rFonts w:eastAsia="Times New Roman" w:cs="Times New Roman"/>
          <w:lang w:val="en-CA"/>
        </w:rPr>
        <w:t xml:space="preserve"> for the immediate reduction of Indigenous incarceration at the local, provincial and federal levels. Indigenous women must be able to access sections 81 and 84 of the </w:t>
      </w:r>
      <w:r w:rsidRPr="00525F62">
        <w:rPr>
          <w:rFonts w:eastAsia="Times New Roman" w:cs="Times New Roman"/>
          <w:i/>
          <w:lang w:val="en-CA"/>
        </w:rPr>
        <w:t>Corrections and Conditional Release Act</w:t>
      </w:r>
      <w:r w:rsidRPr="00190AE2">
        <w:rPr>
          <w:rFonts w:eastAsia="Times New Roman" w:cs="Times New Roman"/>
          <w:lang w:val="en-CA"/>
        </w:rPr>
        <w:t xml:space="preserve"> that allows those women to </w:t>
      </w:r>
      <w:r w:rsidR="00525F62">
        <w:rPr>
          <w:rFonts w:eastAsia="Times New Roman" w:cs="Times New Roman"/>
          <w:lang w:val="en-CA"/>
        </w:rPr>
        <w:t xml:space="preserve">serve </w:t>
      </w:r>
      <w:r w:rsidRPr="00190AE2">
        <w:rPr>
          <w:rFonts w:eastAsia="Times New Roman" w:cs="Times New Roman"/>
          <w:lang w:val="en-CA"/>
        </w:rPr>
        <w:t xml:space="preserve">execute their sentence in their community or apply for early release to an Indigenous community. </w:t>
      </w:r>
      <w:r w:rsidR="008B0C1C">
        <w:rPr>
          <w:rFonts w:eastAsia="Times New Roman" w:cs="Times New Roman"/>
          <w:lang w:val="en-CA"/>
        </w:rPr>
        <w:t xml:space="preserve"> </w:t>
      </w:r>
      <w:r w:rsidRPr="00190AE2">
        <w:rPr>
          <w:rFonts w:eastAsia="Times New Roman" w:cs="Times New Roman"/>
          <w:lang w:val="en-CA"/>
        </w:rPr>
        <w:t xml:space="preserve">Unfortunately, as noted by our own Canadian Human Rights Commission and the Office of the Correctional Investigator, this legislation is under-utilized, under-funded and often not communicated to women as part of their intake process. </w:t>
      </w:r>
    </w:p>
    <w:p w14:paraId="5120941B" w14:textId="77777777" w:rsidR="008B0C1C" w:rsidRDefault="008B0C1C" w:rsidP="00843C03">
      <w:pPr>
        <w:rPr>
          <w:rFonts w:eastAsia="Times New Roman" w:cs="Times New Roman"/>
          <w:b/>
          <w:lang w:val="en-CA"/>
        </w:rPr>
      </w:pPr>
    </w:p>
    <w:p w14:paraId="69DEB290" w14:textId="77777777" w:rsidR="008B0C1C" w:rsidRDefault="008B0C1C" w:rsidP="00843C03">
      <w:pPr>
        <w:rPr>
          <w:rFonts w:eastAsia="Times New Roman" w:cs="Times New Roman"/>
          <w:b/>
          <w:lang w:val="en-CA"/>
        </w:rPr>
      </w:pPr>
    </w:p>
    <w:p w14:paraId="6C7C8732" w14:textId="77777777" w:rsidR="003C3C4E" w:rsidRPr="003C3C4E" w:rsidRDefault="003C3C4E" w:rsidP="00843C03">
      <w:pPr>
        <w:rPr>
          <w:rFonts w:eastAsia="Times New Roman" w:cs="Times New Roman"/>
          <w:b/>
          <w:lang w:val="en-CA"/>
        </w:rPr>
      </w:pPr>
      <w:r w:rsidRPr="003C3C4E">
        <w:rPr>
          <w:rFonts w:eastAsia="Times New Roman" w:cs="Times New Roman"/>
          <w:b/>
          <w:lang w:val="en-CA"/>
        </w:rPr>
        <w:t>VAW Law Reform Recommendation #18:</w:t>
      </w:r>
    </w:p>
    <w:p w14:paraId="005B83FA" w14:textId="77777777" w:rsidR="003664B0" w:rsidRDefault="003664B0" w:rsidP="00061760">
      <w:pPr>
        <w:rPr>
          <w:rFonts w:eastAsia="Times New Roman" w:cs="Times New Roman"/>
          <w:b/>
          <w:bCs/>
          <w:lang w:val="en-CA"/>
        </w:rPr>
      </w:pPr>
    </w:p>
    <w:p w14:paraId="51E2B635" w14:textId="6178CC34" w:rsidR="00061760" w:rsidRPr="00190AE2" w:rsidRDefault="003664B0" w:rsidP="00B56284">
      <w:pPr>
        <w:ind w:left="720"/>
        <w:rPr>
          <w:lang w:val="en-CA"/>
        </w:rPr>
      </w:pPr>
      <w:r>
        <w:rPr>
          <w:rFonts w:eastAsia="Times New Roman" w:cs="Times New Roman"/>
          <w:b/>
          <w:bCs/>
          <w:lang w:val="en-CA"/>
        </w:rPr>
        <w:t xml:space="preserve">That Canada take systematic steps towards </w:t>
      </w:r>
      <w:proofErr w:type="spellStart"/>
      <w:r>
        <w:rPr>
          <w:rFonts w:eastAsia="Times New Roman" w:cs="Times New Roman"/>
          <w:b/>
          <w:bCs/>
          <w:lang w:val="en-CA"/>
        </w:rPr>
        <w:t>d</w:t>
      </w:r>
      <w:r w:rsidR="00061760" w:rsidRPr="00190AE2">
        <w:rPr>
          <w:rFonts w:eastAsia="Times New Roman" w:cs="Times New Roman"/>
          <w:b/>
          <w:bCs/>
          <w:lang w:val="en-CA"/>
        </w:rPr>
        <w:t>ecarceration</w:t>
      </w:r>
      <w:proofErr w:type="spellEnd"/>
      <w:r w:rsidR="00061760" w:rsidRPr="00190AE2">
        <w:rPr>
          <w:rFonts w:eastAsia="Times New Roman" w:cs="Times New Roman"/>
          <w:b/>
          <w:bCs/>
          <w:lang w:val="en-CA"/>
        </w:rPr>
        <w:t xml:space="preserve"> </w:t>
      </w:r>
      <w:r>
        <w:rPr>
          <w:rFonts w:eastAsia="Times New Roman" w:cs="Times New Roman"/>
          <w:b/>
          <w:bCs/>
          <w:lang w:val="en-CA"/>
        </w:rPr>
        <w:t xml:space="preserve">of women, including to </w:t>
      </w:r>
      <w:r w:rsidR="00061760" w:rsidRPr="00190AE2">
        <w:rPr>
          <w:rFonts w:eastAsia="Times New Roman" w:cs="Times New Roman"/>
          <w:b/>
          <w:bCs/>
          <w:lang w:val="en-CA"/>
        </w:rPr>
        <w:t xml:space="preserve">specifically </w:t>
      </w:r>
      <w:r>
        <w:rPr>
          <w:rFonts w:eastAsia="Times New Roman" w:cs="Times New Roman"/>
          <w:b/>
          <w:bCs/>
          <w:lang w:val="en-CA"/>
        </w:rPr>
        <w:t xml:space="preserve">redress </w:t>
      </w:r>
      <w:r w:rsidR="00061760" w:rsidRPr="00190AE2">
        <w:rPr>
          <w:rFonts w:eastAsia="Times New Roman" w:cs="Times New Roman"/>
          <w:b/>
          <w:bCs/>
          <w:lang w:val="en-CA"/>
        </w:rPr>
        <w:t>the overrepresentation of Indigenous women</w:t>
      </w:r>
      <w:r>
        <w:rPr>
          <w:rFonts w:eastAsia="Times New Roman" w:cs="Times New Roman"/>
          <w:b/>
          <w:bCs/>
          <w:lang w:val="en-CA"/>
        </w:rPr>
        <w:t xml:space="preserve"> in detention in Canada</w:t>
      </w:r>
      <w:r w:rsidR="003448E1">
        <w:rPr>
          <w:rFonts w:eastAsia="Times New Roman" w:cs="Times New Roman"/>
          <w:b/>
          <w:bCs/>
          <w:lang w:val="en-CA"/>
        </w:rPr>
        <w:t>.</w:t>
      </w:r>
      <w:r>
        <w:rPr>
          <w:rFonts w:eastAsia="Times New Roman" w:cs="Times New Roman"/>
          <w:b/>
          <w:bCs/>
          <w:lang w:val="en-CA"/>
        </w:rPr>
        <w:t xml:space="preserve"> </w:t>
      </w:r>
    </w:p>
    <w:p w14:paraId="0174E56D" w14:textId="77777777" w:rsidR="00B56284" w:rsidRPr="00190AE2" w:rsidRDefault="00B56284" w:rsidP="00061760">
      <w:pPr>
        <w:rPr>
          <w:rFonts w:eastAsia="Times New Roman" w:cs="Times New Roman"/>
          <w:b/>
          <w:bCs/>
          <w:lang w:val="en-CA"/>
        </w:rPr>
      </w:pPr>
    </w:p>
    <w:p w14:paraId="7C92441C" w14:textId="77777777" w:rsidR="003C3C4E" w:rsidRPr="00190AE2" w:rsidRDefault="003C3C4E" w:rsidP="00843C03">
      <w:pPr>
        <w:rPr>
          <w:rFonts w:eastAsia="Times New Roman" w:cs="Times New Roman"/>
          <w:lang w:val="en-CA"/>
        </w:rPr>
      </w:pPr>
    </w:p>
    <w:p w14:paraId="124BEB40" w14:textId="77777777" w:rsidR="00843C03" w:rsidRPr="00796576" w:rsidRDefault="00843C03" w:rsidP="00796576">
      <w:pPr>
        <w:rPr>
          <w:b/>
          <w:bCs/>
        </w:rPr>
      </w:pPr>
      <w:r w:rsidRPr="00796576">
        <w:rPr>
          <w:rFonts w:eastAsia="Times New Roman" w:cs="Times New Roman"/>
          <w:b/>
          <w:bCs/>
        </w:rPr>
        <w:t>Segregation</w:t>
      </w:r>
    </w:p>
    <w:p w14:paraId="058CA5AF" w14:textId="77777777" w:rsidR="00843C03" w:rsidRPr="00190AE2" w:rsidRDefault="00843C03" w:rsidP="00843C03">
      <w:pPr>
        <w:pStyle w:val="ListParagraph"/>
        <w:rPr>
          <w:b/>
          <w:bCs/>
        </w:rPr>
      </w:pPr>
    </w:p>
    <w:p w14:paraId="7FBCDD39" w14:textId="5920F662" w:rsidR="00843C03" w:rsidRPr="008B0C1C" w:rsidRDefault="00843C03" w:rsidP="00843C03">
      <w:pPr>
        <w:rPr>
          <w:rFonts w:eastAsia="Times New Roman" w:cs="Times New Roman"/>
          <w:lang w:val="en-CA"/>
        </w:rPr>
      </w:pPr>
      <w:r w:rsidRPr="00190AE2">
        <w:rPr>
          <w:rFonts w:eastAsia="Times New Roman" w:cs="Times New Roman"/>
          <w:lang w:val="en-CA"/>
        </w:rPr>
        <w:t xml:space="preserve">Segregation refers to the practice of confining a prisoner alone in any way for periods of time, </w:t>
      </w:r>
      <w:r w:rsidRPr="00190AE2">
        <w:rPr>
          <w:rFonts w:eastAsia="Times New Roman" w:cs="Times New Roman"/>
          <w:color w:val="000000" w:themeColor="text1"/>
          <w:lang w:val="en-CA"/>
        </w:rPr>
        <w:t xml:space="preserve">however segregation is not merely a place. Prisoners in segregation, including in maximum security, do not have access to the main areas of the prison where programs, yard, gym and education occur. </w:t>
      </w:r>
      <w:r w:rsidR="008B0C1C">
        <w:rPr>
          <w:rFonts w:eastAsia="Times New Roman" w:cs="Times New Roman"/>
          <w:lang w:val="en-CA"/>
        </w:rPr>
        <w:t xml:space="preserve"> </w:t>
      </w:r>
      <w:r w:rsidRPr="00190AE2">
        <w:rPr>
          <w:rFonts w:eastAsia="Times New Roman" w:cs="Times New Roman"/>
          <w:lang w:val="en-CA"/>
        </w:rPr>
        <w:t xml:space="preserve">The Canadian Human Rights Commission has in the past noted several research studies that documented the adverse psychological symptoms that can occur as a result of being in segregation. These include, insomnia, confusion, hopelessness, despair, hallucinations, distorted perceptions and psychosis. </w:t>
      </w:r>
      <w:r w:rsidR="008B0C1C">
        <w:rPr>
          <w:rFonts w:eastAsia="Times New Roman" w:cs="Times New Roman"/>
          <w:lang w:val="en-CA"/>
        </w:rPr>
        <w:t xml:space="preserve"> </w:t>
      </w:r>
      <w:r w:rsidRPr="00190AE2">
        <w:rPr>
          <w:rFonts w:eastAsia="Times New Roman" w:cs="Times New Roman"/>
          <w:lang w:val="en-CA"/>
        </w:rPr>
        <w:t xml:space="preserve">Due to the mental and physical distress such segregation can cause, the practice can amount to cruel, inhuman and degrading punishment </w:t>
      </w:r>
      <w:r w:rsidR="00A61841">
        <w:rPr>
          <w:rFonts w:eastAsia="Times New Roman" w:cs="Times New Roman"/>
          <w:lang w:val="en-CA"/>
        </w:rPr>
        <w:t xml:space="preserve">and torture </w:t>
      </w:r>
      <w:r w:rsidRPr="00190AE2">
        <w:rPr>
          <w:rFonts w:eastAsia="Times New Roman" w:cs="Times New Roman"/>
          <w:lang w:val="en-CA"/>
        </w:rPr>
        <w:t xml:space="preserve">and as such should be categorized as institutional violence against women. Indigenous women who have almost all experienced some form of abuse (physical, </w:t>
      </w:r>
      <w:r w:rsidRPr="00190AE2">
        <w:rPr>
          <w:rFonts w:eastAsia="Times New Roman" w:cs="Times New Roman"/>
          <w:lang w:val="en-CA"/>
        </w:rPr>
        <w:lastRenderedPageBreak/>
        <w:t>sexual, domestic) are then overwhelmingly subject to the practice of segregation, an additional trauma against women enacted on behalf of the government of Canada.</w:t>
      </w:r>
    </w:p>
    <w:p w14:paraId="0B7FCBD2" w14:textId="77777777" w:rsidR="00843C03" w:rsidRPr="00190AE2" w:rsidRDefault="00843C03" w:rsidP="00843C03">
      <w:pPr>
        <w:rPr>
          <w:rFonts w:eastAsia="Times New Roman" w:cs="Times New Roman"/>
          <w:lang w:val="en-CA"/>
        </w:rPr>
      </w:pPr>
    </w:p>
    <w:p w14:paraId="40BAF15C" w14:textId="77777777" w:rsidR="00843C03" w:rsidRPr="003C3C4E" w:rsidRDefault="003C3C4E" w:rsidP="00843C03">
      <w:pPr>
        <w:rPr>
          <w:rFonts w:eastAsia="Times New Roman" w:cs="Times New Roman"/>
          <w:b/>
          <w:iCs/>
          <w:lang w:val="en-CA"/>
        </w:rPr>
      </w:pPr>
      <w:r w:rsidRPr="003C3C4E">
        <w:rPr>
          <w:rFonts w:eastAsia="Times New Roman" w:cs="Times New Roman"/>
          <w:b/>
          <w:iCs/>
          <w:lang w:val="en-CA"/>
        </w:rPr>
        <w:t>VAW Law Reform Recommendation #1</w:t>
      </w:r>
      <w:r w:rsidR="00061760">
        <w:rPr>
          <w:rFonts w:eastAsia="Times New Roman" w:cs="Times New Roman"/>
          <w:b/>
          <w:iCs/>
          <w:lang w:val="en-CA"/>
        </w:rPr>
        <w:t>9</w:t>
      </w:r>
      <w:r>
        <w:rPr>
          <w:rFonts w:eastAsia="Times New Roman" w:cs="Times New Roman"/>
          <w:b/>
          <w:iCs/>
          <w:lang w:val="en-CA"/>
        </w:rPr>
        <w:t>:</w:t>
      </w:r>
      <w:r w:rsidRPr="003C3C4E">
        <w:rPr>
          <w:rFonts w:eastAsia="Times New Roman" w:cs="Times New Roman"/>
          <w:b/>
          <w:iCs/>
          <w:lang w:val="en-CA"/>
        </w:rPr>
        <w:t xml:space="preserve"> </w:t>
      </w:r>
    </w:p>
    <w:p w14:paraId="5ECA277E" w14:textId="77777777" w:rsidR="003C3C4E" w:rsidRDefault="003C3C4E" w:rsidP="00843C03">
      <w:pPr>
        <w:rPr>
          <w:rFonts w:eastAsia="Times New Roman" w:cs="Times New Roman"/>
          <w:i/>
          <w:iCs/>
          <w:lang w:val="en-CA"/>
        </w:rPr>
      </w:pPr>
    </w:p>
    <w:p w14:paraId="0C59FB25" w14:textId="723EE2D2" w:rsidR="003C3C4E" w:rsidRPr="00190AE2" w:rsidRDefault="003C3C4E" w:rsidP="0079140A">
      <w:pPr>
        <w:ind w:left="720"/>
        <w:rPr>
          <w:b/>
          <w:bCs/>
          <w:lang w:val="en-CA"/>
        </w:rPr>
      </w:pPr>
      <w:r>
        <w:rPr>
          <w:rFonts w:eastAsia="Times New Roman" w:cs="Times New Roman"/>
          <w:b/>
          <w:bCs/>
          <w:lang w:val="en-CA"/>
        </w:rPr>
        <w:t xml:space="preserve">That </w:t>
      </w:r>
      <w:r w:rsidR="00A61841">
        <w:rPr>
          <w:rFonts w:eastAsia="Times New Roman" w:cs="Times New Roman"/>
          <w:b/>
          <w:bCs/>
          <w:lang w:val="en-CA"/>
        </w:rPr>
        <w:t>the practice of</w:t>
      </w:r>
      <w:r>
        <w:rPr>
          <w:rFonts w:eastAsia="Times New Roman" w:cs="Times New Roman"/>
          <w:b/>
          <w:bCs/>
          <w:lang w:val="en-CA"/>
        </w:rPr>
        <w:t xml:space="preserve"> segregation of women in all places of detention in Canada be abolished</w:t>
      </w:r>
      <w:r w:rsidR="003448E1">
        <w:rPr>
          <w:rFonts w:eastAsia="Times New Roman" w:cs="Times New Roman"/>
          <w:b/>
          <w:bCs/>
          <w:lang w:val="en-CA"/>
        </w:rPr>
        <w:t>.</w:t>
      </w:r>
      <w:r>
        <w:rPr>
          <w:rFonts w:eastAsia="Times New Roman" w:cs="Times New Roman"/>
          <w:b/>
          <w:bCs/>
          <w:lang w:val="en-CA"/>
        </w:rPr>
        <w:t xml:space="preserve"> </w:t>
      </w:r>
    </w:p>
    <w:p w14:paraId="73048345" w14:textId="77777777" w:rsidR="003C3C4E" w:rsidRPr="00190AE2" w:rsidRDefault="003C3C4E" w:rsidP="00843C03">
      <w:pPr>
        <w:rPr>
          <w:rFonts w:eastAsia="Times New Roman" w:cs="Times New Roman"/>
          <w:i/>
          <w:iCs/>
          <w:lang w:val="en-CA"/>
        </w:rPr>
      </w:pPr>
    </w:p>
    <w:p w14:paraId="0F2CDD30" w14:textId="77777777" w:rsidR="003C3C4E" w:rsidRDefault="003C3C4E" w:rsidP="00796576">
      <w:pPr>
        <w:rPr>
          <w:rFonts w:eastAsia="Times New Roman" w:cs="Times New Roman"/>
          <w:b/>
          <w:bCs/>
          <w:lang w:val="en-CA"/>
        </w:rPr>
      </w:pPr>
    </w:p>
    <w:p w14:paraId="472E3C4D" w14:textId="77777777" w:rsidR="00843C03" w:rsidRPr="00796576" w:rsidRDefault="00843C03" w:rsidP="00796576">
      <w:pPr>
        <w:rPr>
          <w:b/>
          <w:bCs/>
          <w:lang w:val="en-CA"/>
        </w:rPr>
      </w:pPr>
      <w:r w:rsidRPr="00796576">
        <w:rPr>
          <w:rFonts w:eastAsia="Times New Roman" w:cs="Times New Roman"/>
          <w:b/>
          <w:bCs/>
          <w:lang w:val="en-CA"/>
        </w:rPr>
        <w:t>Strip Searching</w:t>
      </w:r>
      <w:r w:rsidR="003C3C4E">
        <w:rPr>
          <w:rFonts w:eastAsia="Times New Roman" w:cs="Times New Roman"/>
          <w:b/>
          <w:bCs/>
          <w:lang w:val="en-CA"/>
        </w:rPr>
        <w:t xml:space="preserve"> of women and girls</w:t>
      </w:r>
    </w:p>
    <w:p w14:paraId="53CC22D9" w14:textId="77777777" w:rsidR="00843C03" w:rsidRPr="00190AE2" w:rsidRDefault="00843C03" w:rsidP="00843C03">
      <w:pPr>
        <w:pStyle w:val="ListParagraph"/>
        <w:rPr>
          <w:b/>
          <w:bCs/>
          <w:lang w:val="en-CA"/>
        </w:rPr>
      </w:pPr>
    </w:p>
    <w:p w14:paraId="6C627795" w14:textId="138DDA29" w:rsidR="00843C03" w:rsidRPr="00190AE2" w:rsidRDefault="00843C03" w:rsidP="00843C03">
      <w:pPr>
        <w:rPr>
          <w:rFonts w:eastAsia="Times New Roman" w:cs="Times New Roman"/>
          <w:lang w:val="en-CA"/>
        </w:rPr>
      </w:pPr>
      <w:r w:rsidRPr="00190AE2">
        <w:rPr>
          <w:rFonts w:eastAsia="Times New Roman" w:cs="Times New Roman"/>
          <w:lang w:val="en-CA"/>
        </w:rPr>
        <w:t>Strip searches are defined as the removal or rearrangement of some or all of</w:t>
      </w:r>
      <w:r w:rsidR="00A61841">
        <w:rPr>
          <w:rFonts w:eastAsia="Times New Roman" w:cs="Times New Roman"/>
          <w:lang w:val="en-CA"/>
        </w:rPr>
        <w:t xml:space="preserve"> </w:t>
      </w:r>
      <w:r w:rsidRPr="00190AE2">
        <w:rPr>
          <w:rFonts w:eastAsia="Times New Roman" w:cs="Times New Roman"/>
          <w:lang w:val="en-CA"/>
        </w:rPr>
        <w:t xml:space="preserve">the clothing of a prisoner </w:t>
      </w:r>
      <w:r w:rsidR="00A61841">
        <w:rPr>
          <w:rFonts w:eastAsia="Times New Roman" w:cs="Times New Roman"/>
          <w:lang w:val="en-CA"/>
        </w:rPr>
        <w:t xml:space="preserve">or detainee </w:t>
      </w:r>
      <w:r w:rsidRPr="00190AE2">
        <w:rPr>
          <w:rFonts w:eastAsia="Times New Roman" w:cs="Times New Roman"/>
          <w:lang w:val="en-CA"/>
        </w:rPr>
        <w:t>so as to permit a visual inspection of a person’s private areas,</w:t>
      </w:r>
      <w:r w:rsidR="00A61841">
        <w:rPr>
          <w:rFonts w:eastAsia="Times New Roman" w:cs="Times New Roman"/>
          <w:lang w:val="en-CA"/>
        </w:rPr>
        <w:t xml:space="preserve"> </w:t>
      </w:r>
      <w:r w:rsidRPr="00190AE2">
        <w:rPr>
          <w:rFonts w:eastAsia="Times New Roman" w:cs="Times New Roman"/>
          <w:lang w:val="en-CA"/>
        </w:rPr>
        <w:t xml:space="preserve">namely genitals, buttocks, breasts, or undergarments. </w:t>
      </w:r>
      <w:r w:rsidR="008B0C1C">
        <w:rPr>
          <w:rFonts w:eastAsia="Times New Roman" w:cs="Times New Roman"/>
          <w:lang w:val="en-CA"/>
        </w:rPr>
        <w:t xml:space="preserve"> </w:t>
      </w:r>
      <w:r w:rsidRPr="00190AE2">
        <w:rPr>
          <w:rFonts w:eastAsia="Times New Roman" w:cs="Times New Roman"/>
          <w:lang w:val="en-CA"/>
        </w:rPr>
        <w:t xml:space="preserve">Police and prison guards are also trained to </w:t>
      </w:r>
      <w:r w:rsidRPr="00190AE2">
        <w:rPr>
          <w:rFonts w:eastAsia="Times New Roman" w:cs="Times New Roman"/>
          <w:color w:val="000000" w:themeColor="text1"/>
          <w:lang w:val="en-CA"/>
        </w:rPr>
        <w:t xml:space="preserve">have a woman open </w:t>
      </w:r>
      <w:r w:rsidRPr="00190AE2">
        <w:rPr>
          <w:rFonts w:eastAsia="Times New Roman" w:cs="Times New Roman"/>
          <w:lang w:val="en-CA"/>
        </w:rPr>
        <w:t>her mouth, lift</w:t>
      </w:r>
      <w:r w:rsidR="008B0C1C">
        <w:rPr>
          <w:rFonts w:eastAsia="Times New Roman" w:cs="Times New Roman"/>
          <w:lang w:val="en-CA"/>
        </w:rPr>
        <w:t xml:space="preserve"> </w:t>
      </w:r>
      <w:r w:rsidRPr="00190AE2">
        <w:rPr>
          <w:rFonts w:eastAsia="Times New Roman" w:cs="Times New Roman"/>
          <w:lang w:val="en-CA"/>
        </w:rPr>
        <w:t>her tongue and take out dentures, show behind her ears and shake out her hair, lift each</w:t>
      </w:r>
      <w:r w:rsidR="008B0C1C">
        <w:rPr>
          <w:rFonts w:eastAsia="Times New Roman" w:cs="Times New Roman"/>
          <w:lang w:val="en-CA"/>
        </w:rPr>
        <w:t xml:space="preserve"> </w:t>
      </w:r>
      <w:r w:rsidRPr="00190AE2">
        <w:rPr>
          <w:rFonts w:eastAsia="Times New Roman" w:cs="Times New Roman"/>
          <w:lang w:val="en-CA"/>
        </w:rPr>
        <w:t>limb and her breasts and spread her legs, bend over to touch the floor and part her cheeks</w:t>
      </w:r>
      <w:r w:rsidR="008B0C1C">
        <w:rPr>
          <w:rFonts w:eastAsia="Times New Roman" w:cs="Times New Roman"/>
          <w:lang w:val="en-CA"/>
        </w:rPr>
        <w:t xml:space="preserve"> </w:t>
      </w:r>
      <w:r w:rsidRPr="00190AE2">
        <w:rPr>
          <w:rFonts w:eastAsia="Times New Roman" w:cs="Times New Roman"/>
          <w:lang w:val="en-CA"/>
        </w:rPr>
        <w:t>for inspection or squat over a mirror. If the woman is menstruating, she may be required</w:t>
      </w:r>
      <w:r w:rsidR="008B0C1C">
        <w:rPr>
          <w:rFonts w:eastAsia="Times New Roman" w:cs="Times New Roman"/>
          <w:lang w:val="en-CA"/>
        </w:rPr>
        <w:t xml:space="preserve"> </w:t>
      </w:r>
      <w:r w:rsidRPr="00190AE2">
        <w:rPr>
          <w:rFonts w:eastAsia="Times New Roman" w:cs="Times New Roman"/>
          <w:lang w:val="en-CA"/>
        </w:rPr>
        <w:t>to remove her tampon in front of the officer supervising the strip search.</w:t>
      </w:r>
    </w:p>
    <w:p w14:paraId="18927CAD" w14:textId="77777777" w:rsidR="00843C03" w:rsidRPr="00190AE2" w:rsidRDefault="00843C03" w:rsidP="00843C03">
      <w:pPr>
        <w:rPr>
          <w:rFonts w:eastAsia="Times New Roman" w:cs="Times New Roman"/>
          <w:lang w:val="en-CA"/>
        </w:rPr>
      </w:pPr>
    </w:p>
    <w:p w14:paraId="46C5C1E7" w14:textId="77777777" w:rsidR="00843C03" w:rsidRPr="00190AE2" w:rsidRDefault="00843C03" w:rsidP="008B0C1C">
      <w:pPr>
        <w:outlineLvl w:val="0"/>
        <w:rPr>
          <w:rFonts w:eastAsia="Times New Roman" w:cs="Times New Roman"/>
          <w:lang w:val="en-CA"/>
        </w:rPr>
      </w:pPr>
      <w:r w:rsidRPr="00190AE2">
        <w:rPr>
          <w:rFonts w:eastAsia="Times New Roman" w:cs="Times New Roman"/>
          <w:lang w:val="en-CA"/>
        </w:rPr>
        <w:t>Those who are in charge of prison security have seen that strip searches</w:t>
      </w:r>
      <w:r w:rsidR="008B0C1C">
        <w:rPr>
          <w:rFonts w:eastAsia="Times New Roman" w:cs="Times New Roman"/>
          <w:lang w:val="en-CA"/>
        </w:rPr>
        <w:t xml:space="preserve"> </w:t>
      </w:r>
      <w:r w:rsidRPr="00190AE2">
        <w:rPr>
          <w:rFonts w:eastAsia="Times New Roman" w:cs="Times New Roman"/>
          <w:lang w:val="en-CA"/>
        </w:rPr>
        <w:t>yield very little—if any—contraband and no weapons, but significantly traumatize</w:t>
      </w:r>
      <w:r w:rsidR="008B0C1C">
        <w:rPr>
          <w:rFonts w:eastAsia="Times New Roman" w:cs="Times New Roman"/>
          <w:lang w:val="en-CA"/>
        </w:rPr>
        <w:t xml:space="preserve"> </w:t>
      </w:r>
      <w:r w:rsidRPr="00190AE2">
        <w:rPr>
          <w:rFonts w:eastAsia="Times New Roman" w:cs="Times New Roman"/>
          <w:lang w:val="en-CA"/>
        </w:rPr>
        <w:t>women. Women prisoners, the vast majority of whom have histories of physical and</w:t>
      </w:r>
      <w:r w:rsidR="008B0C1C">
        <w:rPr>
          <w:rFonts w:eastAsia="Times New Roman" w:cs="Times New Roman"/>
          <w:lang w:val="en-CA"/>
        </w:rPr>
        <w:t xml:space="preserve"> </w:t>
      </w:r>
      <w:r w:rsidRPr="00190AE2">
        <w:rPr>
          <w:rFonts w:eastAsia="Times New Roman" w:cs="Times New Roman"/>
          <w:lang w:val="en-CA"/>
        </w:rPr>
        <w:t>sexual abuse, frequently experience strip searches as a form of sexual assault.</w:t>
      </w:r>
    </w:p>
    <w:p w14:paraId="2BAC9894" w14:textId="77777777" w:rsidR="00843C03" w:rsidRPr="00190AE2" w:rsidRDefault="00843C03" w:rsidP="00843C03">
      <w:pPr>
        <w:rPr>
          <w:rFonts w:eastAsia="Times New Roman" w:cs="Times New Roman"/>
          <w:lang w:val="en-CA"/>
        </w:rPr>
      </w:pPr>
    </w:p>
    <w:p w14:paraId="1766418E" w14:textId="398C2075" w:rsidR="00843C03" w:rsidRDefault="00843C03" w:rsidP="00843C03">
      <w:pPr>
        <w:rPr>
          <w:rFonts w:eastAsia="Times New Roman" w:cs="Times New Roman"/>
          <w:lang w:val="en-CA"/>
        </w:rPr>
      </w:pPr>
      <w:r w:rsidRPr="003C3C4E">
        <w:rPr>
          <w:rFonts w:eastAsia="Times New Roman" w:cs="Times New Roman"/>
          <w:bCs/>
          <w:lang w:val="en-CA"/>
        </w:rPr>
        <w:t xml:space="preserve">Strip searching within </w:t>
      </w:r>
      <w:r w:rsidR="00A61841">
        <w:rPr>
          <w:rFonts w:eastAsia="Times New Roman" w:cs="Times New Roman"/>
          <w:bCs/>
          <w:lang w:val="en-CA"/>
        </w:rPr>
        <w:t xml:space="preserve">policing and in </w:t>
      </w:r>
      <w:r w:rsidRPr="003C3C4E">
        <w:rPr>
          <w:rFonts w:eastAsia="Times New Roman" w:cs="Times New Roman"/>
          <w:bCs/>
          <w:lang w:val="en-CA"/>
        </w:rPr>
        <w:t xml:space="preserve">the detention systems of Canada </w:t>
      </w:r>
      <w:r w:rsidR="00A61841">
        <w:rPr>
          <w:rFonts w:eastAsia="Times New Roman" w:cs="Times New Roman"/>
          <w:bCs/>
          <w:lang w:val="en-CA"/>
        </w:rPr>
        <w:t>amounts to</w:t>
      </w:r>
      <w:r w:rsidRPr="003C3C4E">
        <w:rPr>
          <w:rFonts w:eastAsia="Times New Roman" w:cs="Times New Roman"/>
          <w:bCs/>
          <w:lang w:val="en-CA"/>
        </w:rPr>
        <w:t xml:space="preserve"> state sanctioned sexual violence against women</w:t>
      </w:r>
      <w:r w:rsidRPr="003C3C4E">
        <w:rPr>
          <w:rFonts w:eastAsia="Times New Roman" w:cs="Times New Roman"/>
          <w:lang w:val="en-CA"/>
        </w:rPr>
        <w:t>.</w:t>
      </w:r>
      <w:r w:rsidRPr="00190AE2">
        <w:rPr>
          <w:rFonts w:eastAsia="Times New Roman" w:cs="Times New Roman"/>
          <w:lang w:val="en-CA"/>
        </w:rPr>
        <w:t xml:space="preserve"> With 80% of women and 93% of Indigenous women reporting being survivors of physical, sexual or domestic abuse this federal government action effectively re-traumatizes Canadian women on a regular and consistent basis. There are reports of women being strip searched moving from one section of the prison to another section of the prison. Women who have refused to comply with strip searching and lost their ability to visit with their own children as a result. Some women intentionally avoid applying for jobs or education</w:t>
      </w:r>
      <w:r w:rsidR="00A61841">
        <w:rPr>
          <w:rFonts w:eastAsia="Times New Roman" w:cs="Times New Roman"/>
          <w:lang w:val="en-CA"/>
        </w:rPr>
        <w:t xml:space="preserve"> or health services</w:t>
      </w:r>
      <w:r w:rsidRPr="00190AE2">
        <w:rPr>
          <w:rFonts w:eastAsia="Times New Roman" w:cs="Times New Roman"/>
          <w:lang w:val="en-CA"/>
        </w:rPr>
        <w:t xml:space="preserve"> because they do not want to endure the trauma of being </w:t>
      </w:r>
      <w:r w:rsidR="0079140A">
        <w:rPr>
          <w:rFonts w:eastAsia="Times New Roman" w:cs="Times New Roman"/>
          <w:lang w:val="en-CA"/>
        </w:rPr>
        <w:t xml:space="preserve">routinely </w:t>
      </w:r>
      <w:r w:rsidRPr="00190AE2">
        <w:rPr>
          <w:rFonts w:eastAsia="Times New Roman" w:cs="Times New Roman"/>
          <w:lang w:val="en-CA"/>
        </w:rPr>
        <w:t xml:space="preserve">strip searched by the Correctional Service of Canada. </w:t>
      </w:r>
    </w:p>
    <w:p w14:paraId="68DD0937" w14:textId="77777777" w:rsidR="00A61841" w:rsidRPr="00190AE2" w:rsidRDefault="00A61841" w:rsidP="00843C03">
      <w:pPr>
        <w:rPr>
          <w:rFonts w:eastAsia="Times New Roman" w:cs="Times New Roman"/>
          <w:lang w:val="en-CA"/>
        </w:rPr>
      </w:pPr>
    </w:p>
    <w:p w14:paraId="48EDAB9E" w14:textId="77777777" w:rsidR="00843C03" w:rsidRPr="00190AE2" w:rsidRDefault="00843C03" w:rsidP="00843C03">
      <w:pPr>
        <w:rPr>
          <w:rFonts w:eastAsia="Times New Roman" w:cs="Times New Roman"/>
          <w:lang w:val="en-CA"/>
        </w:rPr>
      </w:pPr>
      <w:r w:rsidRPr="00190AE2">
        <w:rPr>
          <w:rFonts w:eastAsia="Times New Roman" w:cs="Times New Roman"/>
          <w:lang w:val="en-CA"/>
        </w:rPr>
        <w:t xml:space="preserve">In a letter addressed to the Correctional Service of Canada </w:t>
      </w:r>
      <w:r w:rsidR="008B0C1C">
        <w:rPr>
          <w:rFonts w:eastAsia="Times New Roman" w:cs="Times New Roman"/>
          <w:lang w:val="en-CA"/>
        </w:rPr>
        <w:t xml:space="preserve">in </w:t>
      </w:r>
      <w:r w:rsidRPr="00190AE2">
        <w:rPr>
          <w:rFonts w:eastAsia="Times New Roman" w:cs="Times New Roman"/>
          <w:lang w:val="en-CA"/>
        </w:rPr>
        <w:t>Octobe</w:t>
      </w:r>
      <w:r w:rsidR="008B0C1C">
        <w:rPr>
          <w:rFonts w:eastAsia="Times New Roman" w:cs="Times New Roman"/>
          <w:lang w:val="en-CA"/>
        </w:rPr>
        <w:t>r 2017</w:t>
      </w:r>
      <w:r w:rsidRPr="00190AE2">
        <w:rPr>
          <w:rFonts w:eastAsia="Times New Roman" w:cs="Times New Roman"/>
          <w:lang w:val="en-CA"/>
        </w:rPr>
        <w:t>,</w:t>
      </w:r>
      <w:r w:rsidR="003C3C4E" w:rsidRPr="003C3C4E">
        <w:rPr>
          <w:rFonts w:eastAsia="Times New Roman" w:cs="Times New Roman"/>
          <w:lang w:val="en-CA"/>
        </w:rPr>
        <w:t xml:space="preserve"> </w:t>
      </w:r>
      <w:r w:rsidR="003C3C4E" w:rsidRPr="00190AE2">
        <w:rPr>
          <w:rFonts w:eastAsia="Times New Roman" w:cs="Times New Roman"/>
          <w:lang w:val="en-CA"/>
        </w:rPr>
        <w:t>CAEFS</w:t>
      </w:r>
      <w:r w:rsidRPr="00190AE2">
        <w:rPr>
          <w:rFonts w:eastAsia="Times New Roman" w:cs="Times New Roman"/>
          <w:lang w:val="en-CA"/>
        </w:rPr>
        <w:t xml:space="preserve"> cited that mandatory strip searching violated the Mandela Rules 52.1 which states 'intrusive searches, including strip and body cavity searches, should be undertaken only if absolutely necessary. Prisons administrations shall be encouraged to develop and use appropriate alternatives to intrusive strip searches.'</w:t>
      </w:r>
    </w:p>
    <w:p w14:paraId="60DDADBB" w14:textId="25BE350B" w:rsidR="00843C03" w:rsidRDefault="00843C03" w:rsidP="00843C03">
      <w:pPr>
        <w:rPr>
          <w:rFonts w:eastAsia="Times New Roman" w:cs="Times New Roman"/>
          <w:lang w:val="en-CA"/>
        </w:rPr>
      </w:pPr>
    </w:p>
    <w:p w14:paraId="539B78D5" w14:textId="77777777" w:rsidR="003C3C4E" w:rsidRDefault="00061760" w:rsidP="008B525B">
      <w:pPr>
        <w:outlineLvl w:val="0"/>
        <w:rPr>
          <w:rFonts w:eastAsia="Times New Roman" w:cs="Times New Roman"/>
          <w:b/>
          <w:bCs/>
          <w:lang w:val="en-CA"/>
        </w:rPr>
      </w:pPr>
      <w:r>
        <w:rPr>
          <w:rFonts w:eastAsia="Times New Roman" w:cs="Times New Roman"/>
          <w:b/>
          <w:bCs/>
          <w:lang w:val="en-CA"/>
        </w:rPr>
        <w:t>VAW</w:t>
      </w:r>
      <w:r w:rsidR="003C3C4E">
        <w:rPr>
          <w:rFonts w:eastAsia="Times New Roman" w:cs="Times New Roman"/>
          <w:b/>
          <w:bCs/>
          <w:lang w:val="en-CA"/>
        </w:rPr>
        <w:t xml:space="preserve"> </w:t>
      </w:r>
      <w:r w:rsidR="00843C03" w:rsidRPr="00190AE2">
        <w:rPr>
          <w:rFonts w:eastAsia="Times New Roman" w:cs="Times New Roman"/>
          <w:b/>
          <w:bCs/>
          <w:lang w:val="en-CA"/>
        </w:rPr>
        <w:t>Law Reform Recommendation #</w:t>
      </w:r>
      <w:r>
        <w:rPr>
          <w:rFonts w:eastAsia="Times New Roman" w:cs="Times New Roman"/>
          <w:b/>
          <w:bCs/>
          <w:lang w:val="en-CA"/>
        </w:rPr>
        <w:t>20:</w:t>
      </w:r>
      <w:r w:rsidR="00843C03" w:rsidRPr="00190AE2">
        <w:rPr>
          <w:rFonts w:eastAsia="Times New Roman" w:cs="Times New Roman"/>
          <w:b/>
          <w:bCs/>
          <w:lang w:val="en-CA"/>
        </w:rPr>
        <w:t xml:space="preserve"> </w:t>
      </w:r>
    </w:p>
    <w:p w14:paraId="0E777712" w14:textId="77777777" w:rsidR="003C3C4E" w:rsidRDefault="003C3C4E" w:rsidP="003C3C4E">
      <w:pPr>
        <w:rPr>
          <w:rFonts w:eastAsia="Times New Roman" w:cs="Times New Roman"/>
          <w:b/>
          <w:bCs/>
          <w:lang w:val="en-CA"/>
        </w:rPr>
      </w:pPr>
    </w:p>
    <w:p w14:paraId="181FB267" w14:textId="71907CC2" w:rsidR="003C3C4E" w:rsidRDefault="003C3C4E" w:rsidP="00061760">
      <w:pPr>
        <w:ind w:left="720"/>
        <w:rPr>
          <w:rFonts w:eastAsia="Times New Roman" w:cs="Times New Roman"/>
          <w:b/>
          <w:bCs/>
          <w:lang w:val="en-CA"/>
        </w:rPr>
      </w:pPr>
      <w:r>
        <w:rPr>
          <w:rFonts w:eastAsia="Times New Roman" w:cs="Times New Roman"/>
          <w:b/>
          <w:bCs/>
          <w:lang w:val="en-CA"/>
        </w:rPr>
        <w:t xml:space="preserve">That there be an </w:t>
      </w:r>
      <w:r w:rsidR="00487C0B">
        <w:rPr>
          <w:rFonts w:eastAsia="Times New Roman" w:cs="Times New Roman"/>
          <w:b/>
          <w:bCs/>
          <w:lang w:val="en-CA"/>
        </w:rPr>
        <w:t>i</w:t>
      </w:r>
      <w:r w:rsidRPr="00190AE2">
        <w:rPr>
          <w:rFonts w:eastAsia="Times New Roman" w:cs="Times New Roman"/>
          <w:b/>
          <w:bCs/>
          <w:lang w:val="en-CA"/>
        </w:rPr>
        <w:t>mmediate</w:t>
      </w:r>
      <w:r>
        <w:rPr>
          <w:rFonts w:eastAsia="Times New Roman" w:cs="Times New Roman"/>
          <w:b/>
          <w:bCs/>
          <w:lang w:val="en-CA"/>
        </w:rPr>
        <w:t xml:space="preserve"> </w:t>
      </w:r>
      <w:r w:rsidRPr="00190AE2">
        <w:rPr>
          <w:rFonts w:eastAsia="Times New Roman" w:cs="Times New Roman"/>
          <w:b/>
          <w:bCs/>
          <w:lang w:val="en-CA"/>
        </w:rPr>
        <w:t xml:space="preserve">end </w:t>
      </w:r>
      <w:r w:rsidR="00487C0B">
        <w:rPr>
          <w:rFonts w:eastAsia="Times New Roman" w:cs="Times New Roman"/>
          <w:b/>
          <w:bCs/>
          <w:lang w:val="en-CA"/>
        </w:rPr>
        <w:t xml:space="preserve">to </w:t>
      </w:r>
      <w:r w:rsidRPr="00190AE2">
        <w:rPr>
          <w:rFonts w:eastAsia="Times New Roman" w:cs="Times New Roman"/>
          <w:b/>
          <w:bCs/>
          <w:lang w:val="en-CA"/>
        </w:rPr>
        <w:t>the practice of strip searching</w:t>
      </w:r>
      <w:r>
        <w:rPr>
          <w:rFonts w:eastAsia="Times New Roman" w:cs="Times New Roman"/>
          <w:b/>
          <w:bCs/>
          <w:lang w:val="en-CA"/>
        </w:rPr>
        <w:t xml:space="preserve"> of women and girls in all places of detention </w:t>
      </w:r>
      <w:r w:rsidR="00061760">
        <w:rPr>
          <w:rFonts w:eastAsia="Times New Roman" w:cs="Times New Roman"/>
          <w:b/>
          <w:bCs/>
          <w:lang w:val="en-CA"/>
        </w:rPr>
        <w:t>in Canada</w:t>
      </w:r>
      <w:r w:rsidR="003448E1">
        <w:rPr>
          <w:rFonts w:eastAsia="Times New Roman" w:cs="Times New Roman"/>
          <w:b/>
          <w:bCs/>
          <w:lang w:val="en-CA"/>
        </w:rPr>
        <w:t>.</w:t>
      </w:r>
    </w:p>
    <w:p w14:paraId="130BCA20" w14:textId="77777777" w:rsidR="006455DF" w:rsidRPr="00190AE2" w:rsidRDefault="006455DF" w:rsidP="00061760">
      <w:pPr>
        <w:ind w:left="720"/>
        <w:rPr>
          <w:b/>
          <w:bCs/>
          <w:lang w:val="en-CA"/>
        </w:rPr>
      </w:pPr>
    </w:p>
    <w:p w14:paraId="4655E3A6" w14:textId="77777777" w:rsidR="003C3C4E" w:rsidRDefault="003C3C4E" w:rsidP="008B525B">
      <w:pPr>
        <w:outlineLvl w:val="0"/>
        <w:rPr>
          <w:rFonts w:eastAsia="Times New Roman" w:cs="Times New Roman"/>
          <w:b/>
          <w:bCs/>
          <w:lang w:val="en-CA"/>
        </w:rPr>
      </w:pPr>
    </w:p>
    <w:bookmarkEnd w:id="3"/>
    <w:p w14:paraId="7E479800" w14:textId="77777777" w:rsidR="008B525B" w:rsidRPr="008B0C1C" w:rsidRDefault="003E2867" w:rsidP="008B525B">
      <w:pPr>
        <w:rPr>
          <w:rFonts w:eastAsia="Times New Roman" w:cs="Times New Roman"/>
          <w:b/>
          <w:u w:val="single"/>
          <w:lang w:val="en-CA"/>
        </w:rPr>
      </w:pPr>
      <w:r w:rsidRPr="008B0C1C">
        <w:rPr>
          <w:rFonts w:eastAsia="Times New Roman" w:cs="Times New Roman"/>
          <w:b/>
          <w:u w:val="single"/>
          <w:lang w:val="en-CA"/>
        </w:rPr>
        <w:t xml:space="preserve">Cross Cutting </w:t>
      </w:r>
      <w:r w:rsidR="00E76E78" w:rsidRPr="008B0C1C">
        <w:rPr>
          <w:rFonts w:eastAsia="Times New Roman" w:cs="Times New Roman"/>
          <w:b/>
          <w:u w:val="single"/>
          <w:lang w:val="en-CA"/>
        </w:rPr>
        <w:t xml:space="preserve">VAW Law Reform </w:t>
      </w:r>
      <w:r w:rsidRPr="008B0C1C">
        <w:rPr>
          <w:rFonts w:eastAsia="Times New Roman" w:cs="Times New Roman"/>
          <w:b/>
          <w:u w:val="single"/>
          <w:lang w:val="en-CA"/>
        </w:rPr>
        <w:t>Recommendations</w:t>
      </w:r>
    </w:p>
    <w:p w14:paraId="1B9F2579" w14:textId="77777777" w:rsidR="003E2867" w:rsidRDefault="003E2867" w:rsidP="008B525B">
      <w:pPr>
        <w:rPr>
          <w:rFonts w:eastAsia="Times New Roman" w:cs="Times New Roman"/>
          <w:lang w:val="en-CA"/>
        </w:rPr>
      </w:pPr>
    </w:p>
    <w:p w14:paraId="436D54F8" w14:textId="77777777" w:rsidR="003E2867" w:rsidRDefault="003E2867" w:rsidP="008B525B">
      <w:pPr>
        <w:rPr>
          <w:rFonts w:eastAsia="Times New Roman" w:cs="Times New Roman"/>
          <w:lang w:val="en-CA"/>
        </w:rPr>
      </w:pPr>
      <w:r>
        <w:rPr>
          <w:rFonts w:eastAsia="Times New Roman" w:cs="Times New Roman"/>
          <w:lang w:val="en-CA"/>
        </w:rPr>
        <w:t>VAW Law Reform Recommendation #21:</w:t>
      </w:r>
    </w:p>
    <w:p w14:paraId="546188E8" w14:textId="77777777" w:rsidR="003E2867" w:rsidRDefault="003E2867" w:rsidP="008B525B">
      <w:pPr>
        <w:rPr>
          <w:rFonts w:eastAsia="Times New Roman" w:cs="Times New Roman"/>
          <w:lang w:val="en-CA"/>
        </w:rPr>
      </w:pPr>
    </w:p>
    <w:p w14:paraId="3CCE0BD1" w14:textId="4F0F2306" w:rsidR="008B525B" w:rsidRDefault="00706D43" w:rsidP="00706D43">
      <w:pPr>
        <w:spacing w:after="160" w:line="259" w:lineRule="auto"/>
        <w:ind w:left="720"/>
        <w:rPr>
          <w:b/>
          <w:lang w:val="en-CA"/>
        </w:rPr>
      </w:pPr>
      <w:r w:rsidRPr="00706D43">
        <w:rPr>
          <w:b/>
          <w:lang w:val="en-CA"/>
        </w:rPr>
        <w:t>That legislative responses to VAW in Canada must prevent and respond to the ways in which women in all their diversity experience violence</w:t>
      </w:r>
      <w:r w:rsidR="003448E1">
        <w:rPr>
          <w:b/>
          <w:lang w:val="en-CA"/>
        </w:rPr>
        <w:t>.</w:t>
      </w:r>
    </w:p>
    <w:p w14:paraId="7F862DA7" w14:textId="77777777" w:rsidR="005708D2" w:rsidRDefault="005708D2" w:rsidP="00706D43">
      <w:pPr>
        <w:spacing w:after="160" w:line="259" w:lineRule="auto"/>
        <w:rPr>
          <w:lang w:val="en-CA"/>
        </w:rPr>
      </w:pPr>
    </w:p>
    <w:p w14:paraId="1724ADE8" w14:textId="5751FDE5" w:rsidR="00706D43" w:rsidRDefault="00706D43" w:rsidP="00706D43">
      <w:pPr>
        <w:spacing w:after="160" w:line="259" w:lineRule="auto"/>
        <w:rPr>
          <w:lang w:val="en-CA"/>
        </w:rPr>
      </w:pPr>
      <w:r w:rsidRPr="00706D43">
        <w:rPr>
          <w:lang w:val="en-CA"/>
        </w:rPr>
        <w:t>VA</w:t>
      </w:r>
      <w:r w:rsidR="008B0C1C">
        <w:rPr>
          <w:lang w:val="en-CA"/>
        </w:rPr>
        <w:t>W</w:t>
      </w:r>
      <w:r w:rsidRPr="00706D43">
        <w:rPr>
          <w:lang w:val="en-CA"/>
        </w:rPr>
        <w:t xml:space="preserve"> Law Reform Recommendation #22</w:t>
      </w:r>
      <w:r>
        <w:rPr>
          <w:lang w:val="en-CA"/>
        </w:rPr>
        <w:t>:</w:t>
      </w:r>
    </w:p>
    <w:p w14:paraId="7530619D" w14:textId="77777777" w:rsidR="00706D43" w:rsidRPr="00E76E78" w:rsidRDefault="00706D43" w:rsidP="00E76E78">
      <w:pPr>
        <w:spacing w:after="160" w:line="259" w:lineRule="auto"/>
        <w:ind w:left="720"/>
        <w:rPr>
          <w:b/>
          <w:lang w:val="en-CA"/>
        </w:rPr>
      </w:pPr>
      <w:r w:rsidRPr="00E76E78">
        <w:rPr>
          <w:b/>
          <w:lang w:val="en-CA"/>
        </w:rPr>
        <w:t xml:space="preserve">That data on VAW in Canada </w:t>
      </w:r>
      <w:r w:rsidR="00E76E78" w:rsidRPr="00E76E78">
        <w:rPr>
          <w:b/>
          <w:lang w:val="en-CA"/>
        </w:rPr>
        <w:t xml:space="preserve">be systematically collected, </w:t>
      </w:r>
      <w:r w:rsidRPr="00E76E78">
        <w:rPr>
          <w:b/>
          <w:lang w:val="en-CA"/>
        </w:rPr>
        <w:t xml:space="preserve">including on the impacts of the legislative frameworks on VAW, </w:t>
      </w:r>
      <w:r w:rsidR="00E76E78">
        <w:rPr>
          <w:b/>
          <w:lang w:val="en-CA"/>
        </w:rPr>
        <w:t xml:space="preserve">and that the data collected be </w:t>
      </w:r>
      <w:r w:rsidR="00E76E78" w:rsidRPr="00E76E78">
        <w:rPr>
          <w:b/>
          <w:lang w:val="en-CA"/>
        </w:rPr>
        <w:t>disaggregated, accessible</w:t>
      </w:r>
      <w:r w:rsidR="00E76E78">
        <w:rPr>
          <w:b/>
          <w:lang w:val="en-CA"/>
        </w:rPr>
        <w:t>,</w:t>
      </w:r>
      <w:r w:rsidR="00E76E78" w:rsidRPr="00E76E78">
        <w:rPr>
          <w:b/>
          <w:lang w:val="en-CA"/>
        </w:rPr>
        <w:t xml:space="preserve"> and shared across all jurisdictions in Canada</w:t>
      </w:r>
      <w:r w:rsidR="00E76E78">
        <w:rPr>
          <w:b/>
          <w:lang w:val="en-CA"/>
        </w:rPr>
        <w:t xml:space="preserve"> (while still ensuring confidentiality of victims/survivors)</w:t>
      </w:r>
      <w:r w:rsidR="00E76E78" w:rsidRPr="00E76E78">
        <w:rPr>
          <w:b/>
          <w:lang w:val="en-CA"/>
        </w:rPr>
        <w:t>.</w:t>
      </w:r>
    </w:p>
    <w:p w14:paraId="5C1DB70C" w14:textId="77777777" w:rsidR="00706D43" w:rsidRDefault="00706D43" w:rsidP="00706D43">
      <w:pPr>
        <w:spacing w:after="160" w:line="259" w:lineRule="auto"/>
        <w:rPr>
          <w:lang w:val="en-CA"/>
        </w:rPr>
      </w:pPr>
    </w:p>
    <w:p w14:paraId="7B0440AA" w14:textId="77777777" w:rsidR="00E76E78" w:rsidRDefault="00E76E78" w:rsidP="00706D43">
      <w:pPr>
        <w:spacing w:after="160" w:line="259" w:lineRule="auto"/>
        <w:rPr>
          <w:lang w:val="en-CA"/>
        </w:rPr>
      </w:pPr>
      <w:r>
        <w:rPr>
          <w:lang w:val="en-CA"/>
        </w:rPr>
        <w:t>VAW Law Reform Recommendation #23:</w:t>
      </w:r>
    </w:p>
    <w:p w14:paraId="6D31BCE1" w14:textId="77777777" w:rsidR="00E76E78" w:rsidRPr="00966EC6" w:rsidRDefault="00966EC6" w:rsidP="00966EC6">
      <w:pPr>
        <w:spacing w:after="160" w:line="259" w:lineRule="auto"/>
        <w:ind w:left="720"/>
        <w:rPr>
          <w:b/>
          <w:lang w:val="en-CA"/>
        </w:rPr>
      </w:pPr>
      <w:r w:rsidRPr="00966EC6">
        <w:rPr>
          <w:b/>
          <w:lang w:val="en-CA"/>
        </w:rPr>
        <w:t>That intersectional feminist analysis and research be undertaken to inform VAW law reform</w:t>
      </w:r>
      <w:r>
        <w:rPr>
          <w:b/>
          <w:lang w:val="en-CA"/>
        </w:rPr>
        <w:t xml:space="preserve"> in Canada</w:t>
      </w:r>
      <w:r w:rsidRPr="00966EC6">
        <w:rPr>
          <w:b/>
          <w:lang w:val="en-CA"/>
        </w:rPr>
        <w:t>, particularly in relation to emerging VAW issues</w:t>
      </w:r>
      <w:r>
        <w:rPr>
          <w:b/>
          <w:lang w:val="en-CA"/>
        </w:rPr>
        <w:t>,</w:t>
      </w:r>
      <w:r w:rsidRPr="00966EC6">
        <w:rPr>
          <w:b/>
          <w:lang w:val="en-CA"/>
        </w:rPr>
        <w:t xml:space="preserve"> and in areas where there are </w:t>
      </w:r>
      <w:r>
        <w:rPr>
          <w:b/>
          <w:lang w:val="en-CA"/>
        </w:rPr>
        <w:t xml:space="preserve">research </w:t>
      </w:r>
      <w:r w:rsidRPr="00966EC6">
        <w:rPr>
          <w:b/>
          <w:lang w:val="en-CA"/>
        </w:rPr>
        <w:t>gaps</w:t>
      </w:r>
      <w:r>
        <w:rPr>
          <w:b/>
          <w:lang w:val="en-CA"/>
        </w:rPr>
        <w:t xml:space="preserve"> or </w:t>
      </w:r>
      <w:r w:rsidRPr="00966EC6">
        <w:rPr>
          <w:b/>
          <w:lang w:val="en-CA"/>
        </w:rPr>
        <w:t xml:space="preserve">divergencies of analysis within feminist groups. </w:t>
      </w:r>
    </w:p>
    <w:p w14:paraId="4181785B" w14:textId="77777777" w:rsidR="003448E1" w:rsidRDefault="003448E1" w:rsidP="00706D43">
      <w:pPr>
        <w:spacing w:after="160" w:line="259" w:lineRule="auto"/>
        <w:rPr>
          <w:lang w:val="en-CA"/>
        </w:rPr>
      </w:pPr>
    </w:p>
    <w:p w14:paraId="21740E94" w14:textId="77777777" w:rsidR="00706D43" w:rsidRDefault="00706D43" w:rsidP="00706D43">
      <w:pPr>
        <w:spacing w:after="160" w:line="259" w:lineRule="auto"/>
        <w:rPr>
          <w:lang w:val="en-CA"/>
        </w:rPr>
      </w:pPr>
      <w:r>
        <w:rPr>
          <w:lang w:val="en-CA"/>
        </w:rPr>
        <w:t>VAW Law Reform Recommendation #2</w:t>
      </w:r>
      <w:r w:rsidR="00E76E78">
        <w:rPr>
          <w:lang w:val="en-CA"/>
        </w:rPr>
        <w:t>4</w:t>
      </w:r>
      <w:r>
        <w:rPr>
          <w:lang w:val="en-CA"/>
        </w:rPr>
        <w:t>:</w:t>
      </w:r>
    </w:p>
    <w:p w14:paraId="7C5FF8F6" w14:textId="77777777" w:rsidR="00706D43" w:rsidRPr="00706D43" w:rsidRDefault="00706D43" w:rsidP="00706D43">
      <w:pPr>
        <w:spacing w:after="160" w:line="259" w:lineRule="auto"/>
        <w:ind w:left="720"/>
        <w:rPr>
          <w:b/>
          <w:lang w:val="en-CA"/>
        </w:rPr>
      </w:pPr>
      <w:r w:rsidRPr="00706D43">
        <w:rPr>
          <w:b/>
          <w:lang w:val="en-CA"/>
        </w:rPr>
        <w:t>That the Federal Government take leadership in ensuring that there is coherence in VAW legislation across all federal/provincial/territorial jurisdictions, including by using federal spending power to drive coherence and cooperation across jurisdictions.</w:t>
      </w:r>
    </w:p>
    <w:p w14:paraId="08DEF439" w14:textId="77777777" w:rsidR="00706D43" w:rsidRDefault="00706D43" w:rsidP="00706D43">
      <w:pPr>
        <w:spacing w:after="160" w:line="259" w:lineRule="auto"/>
        <w:rPr>
          <w:lang w:val="en-CA"/>
        </w:rPr>
      </w:pPr>
    </w:p>
    <w:p w14:paraId="6C4BF61C" w14:textId="77777777" w:rsidR="00706D43" w:rsidRDefault="00706D43" w:rsidP="00706D43">
      <w:pPr>
        <w:spacing w:after="160" w:line="259" w:lineRule="auto"/>
        <w:rPr>
          <w:lang w:val="en-CA"/>
        </w:rPr>
      </w:pPr>
      <w:r>
        <w:rPr>
          <w:lang w:val="en-CA"/>
        </w:rPr>
        <w:t>VAW Law Reform Recommendation #2</w:t>
      </w:r>
      <w:r w:rsidR="00E76E78">
        <w:rPr>
          <w:lang w:val="en-CA"/>
        </w:rPr>
        <w:t>5</w:t>
      </w:r>
      <w:r>
        <w:rPr>
          <w:lang w:val="en-CA"/>
        </w:rPr>
        <w:t>:</w:t>
      </w:r>
    </w:p>
    <w:p w14:paraId="392D9459" w14:textId="493A4D28" w:rsidR="00706D43" w:rsidRPr="00706D43" w:rsidRDefault="00706D43" w:rsidP="00706D43">
      <w:pPr>
        <w:spacing w:after="160" w:line="259" w:lineRule="auto"/>
        <w:ind w:left="720"/>
        <w:rPr>
          <w:b/>
          <w:lang w:val="en-CA"/>
        </w:rPr>
      </w:pPr>
      <w:r w:rsidRPr="00706D43">
        <w:rPr>
          <w:b/>
          <w:lang w:val="en-CA"/>
        </w:rPr>
        <w:t xml:space="preserve">That the Federal Government commit to ensuring that feminist and equality-seeking group are systematically engaged in the framing and monitoring of all VAW law reform approaches and actions, and </w:t>
      </w:r>
      <w:r w:rsidR="00482275">
        <w:rPr>
          <w:b/>
          <w:lang w:val="en-CA"/>
        </w:rPr>
        <w:t xml:space="preserve">that the Federal Government </w:t>
      </w:r>
      <w:r w:rsidRPr="00706D43">
        <w:rPr>
          <w:b/>
          <w:lang w:val="en-CA"/>
        </w:rPr>
        <w:t>provide the necessary core organizational funding required for feminist and equality seeking groups to do so, including funding to rebuild capacities for feminist engagement in all aspects of VAW law reform in Canada.</w:t>
      </w:r>
    </w:p>
    <w:sectPr w:rsidR="00706D43" w:rsidRPr="00706D43" w:rsidSect="00BC4C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40803" w14:textId="77777777" w:rsidR="00EE46BB" w:rsidRDefault="00EE46BB" w:rsidP="00F52978">
      <w:r>
        <w:separator/>
      </w:r>
    </w:p>
  </w:endnote>
  <w:endnote w:type="continuationSeparator" w:id="0">
    <w:p w14:paraId="306DC9E4" w14:textId="77777777" w:rsidR="00EE46BB" w:rsidRDefault="00EE46BB" w:rsidP="00F5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E7F9" w14:textId="77777777" w:rsidR="00242B68" w:rsidRDefault="00242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39066"/>
      <w:docPartObj>
        <w:docPartGallery w:val="Page Numbers (Bottom of Page)"/>
        <w:docPartUnique/>
      </w:docPartObj>
    </w:sdtPr>
    <w:sdtEndPr>
      <w:rPr>
        <w:noProof/>
      </w:rPr>
    </w:sdtEndPr>
    <w:sdtContent>
      <w:p w14:paraId="3C2E8876" w14:textId="77777777" w:rsidR="00242B68" w:rsidRDefault="00242B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35E41E" w14:textId="77777777" w:rsidR="00242B68" w:rsidRDefault="00242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4F79" w14:textId="77777777" w:rsidR="00242B68" w:rsidRDefault="00242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9986D" w14:textId="77777777" w:rsidR="00EE46BB" w:rsidRDefault="00EE46BB" w:rsidP="00F52978">
      <w:r>
        <w:separator/>
      </w:r>
    </w:p>
  </w:footnote>
  <w:footnote w:type="continuationSeparator" w:id="0">
    <w:p w14:paraId="3ACD2992" w14:textId="77777777" w:rsidR="00EE46BB" w:rsidRDefault="00EE46BB" w:rsidP="00F52978">
      <w:r>
        <w:continuationSeparator/>
      </w:r>
    </w:p>
  </w:footnote>
  <w:footnote w:id="1">
    <w:p w14:paraId="6C92E400" w14:textId="3E24BE9C" w:rsidR="00242B68" w:rsidRPr="00063C02" w:rsidRDefault="00242B68">
      <w:pPr>
        <w:pStyle w:val="FootnoteText"/>
      </w:pPr>
      <w:r>
        <w:rPr>
          <w:rStyle w:val="FootnoteReference"/>
        </w:rPr>
        <w:footnoteRef/>
      </w:r>
      <w:r>
        <w:t xml:space="preserve"> The NAWL led consultation included participants representing the following organizations: The National Association of Women and the Law (NAWL/ANFD), The Canadian Association of Elizabeth Frye Societies (C</w:t>
      </w:r>
      <w:r w:rsidRPr="00FC39F2">
        <w:t>AEFS/</w:t>
      </w:r>
      <w:r w:rsidRPr="00FC39F2">
        <w:rPr>
          <w:rFonts w:cs="Helvetica"/>
          <w:color w:val="000000"/>
        </w:rPr>
        <w:t>L’ACSEF</w:t>
      </w:r>
      <w:r>
        <w:rPr>
          <w:rFonts w:cs="Helvetica"/>
          <w:color w:val="000000"/>
        </w:rPr>
        <w:t>),</w:t>
      </w:r>
      <w:r>
        <w:t xml:space="preserve"> The Canadian Council of Muslim Women (CCMW/CCFM), The Canadian Federation of University Women (</w:t>
      </w:r>
      <w:r w:rsidRPr="00495536">
        <w:rPr>
          <w:lang w:val="en-CA"/>
        </w:rPr>
        <w:t>CFUW/FCFDU</w:t>
      </w:r>
      <w:r>
        <w:t>), The Canadian Feminist Alliance for International Action (FAFIA/AFAI), The Canadian Research Institute on the Advancement of Women (CRIAW/ICREF), The Canadian Women’s Foundation (</w:t>
      </w:r>
      <w:r w:rsidRPr="00333B3F">
        <w:t>CWF/FCF</w:t>
      </w:r>
      <w:r>
        <w:t>), Law Needs Feminism Because (LNFB/DBFC), The Native Women’s Association of Canada (NWAC/</w:t>
      </w:r>
      <w:r w:rsidRPr="00495536">
        <w:t xml:space="preserve"> </w:t>
      </w:r>
      <w:r w:rsidRPr="00F42A52">
        <w:t>L’AFAC</w:t>
      </w:r>
      <w:r>
        <w:t xml:space="preserve">), </w:t>
      </w:r>
      <w:proofErr w:type="spellStart"/>
      <w:r>
        <w:t>Pauktuutit</w:t>
      </w:r>
      <w:proofErr w:type="spellEnd"/>
      <w:r>
        <w:t xml:space="preserve"> Inuit Women of Canada, the Women’s Legal Education and Action Fund (LEAF/FAEJ), Women’s Shelters Canada (WSC/HFC ), Action Canada for Sexual Health</w:t>
      </w:r>
      <w:r w:rsidR="00234DBE">
        <w:t xml:space="preserve"> and Rights</w:t>
      </w:r>
      <w:r>
        <w:t xml:space="preserve">,  </w:t>
      </w:r>
      <w:r w:rsidRPr="00495536">
        <w:rPr>
          <w:lang w:val="en-CA"/>
        </w:rPr>
        <w:t xml:space="preserve">Action </w:t>
      </w:r>
      <w:proofErr w:type="spellStart"/>
      <w:r w:rsidRPr="00495536">
        <w:rPr>
          <w:lang w:val="en-CA"/>
        </w:rPr>
        <w:t>ontarianne</w:t>
      </w:r>
      <w:proofErr w:type="spellEnd"/>
      <w:r w:rsidRPr="00495536">
        <w:rPr>
          <w:lang w:val="en-CA"/>
        </w:rPr>
        <w:t xml:space="preserve"> </w:t>
      </w:r>
      <w:proofErr w:type="spellStart"/>
      <w:r w:rsidRPr="00495536">
        <w:rPr>
          <w:lang w:val="en-CA"/>
        </w:rPr>
        <w:t>contre</w:t>
      </w:r>
      <w:proofErr w:type="spellEnd"/>
      <w:r w:rsidRPr="00495536">
        <w:rPr>
          <w:lang w:val="en-CA"/>
        </w:rPr>
        <w:t xml:space="preserve"> la violence </w:t>
      </w:r>
      <w:proofErr w:type="spellStart"/>
      <w:r w:rsidRPr="00495536">
        <w:rPr>
          <w:lang w:val="en-CA"/>
        </w:rPr>
        <w:t>faite</w:t>
      </w:r>
      <w:proofErr w:type="spellEnd"/>
      <w:r w:rsidRPr="00495536">
        <w:rPr>
          <w:lang w:val="en-CA"/>
        </w:rPr>
        <w:t xml:space="preserve"> aux femmes</w:t>
      </w:r>
      <w:r>
        <w:t xml:space="preserve"> (</w:t>
      </w:r>
      <w:proofErr w:type="spellStart"/>
      <w:r>
        <w:t>A</w:t>
      </w:r>
      <w:r w:rsidRPr="00FF27E3">
        <w:rPr>
          <w:rFonts w:cs="Arial"/>
          <w:color w:val="000000"/>
          <w:spacing w:val="4"/>
          <w:szCs w:val="27"/>
        </w:rPr>
        <w:t>OcVF</w:t>
      </w:r>
      <w:proofErr w:type="spellEnd"/>
      <w:r>
        <w:t xml:space="preserve">), Amnesty International Canada, and the Canadian </w:t>
      </w:r>
      <w:proofErr w:type="spellStart"/>
      <w:r>
        <w:t>Labour</w:t>
      </w:r>
      <w:proofErr w:type="spellEnd"/>
      <w:r>
        <w:t xml:space="preserve"> Congress (CLC-CTC). </w:t>
      </w:r>
    </w:p>
  </w:footnote>
  <w:footnote w:id="2">
    <w:p w14:paraId="5A41C5AA" w14:textId="77777777" w:rsidR="00242B68" w:rsidRPr="00063C02" w:rsidRDefault="00242B68">
      <w:pPr>
        <w:pStyle w:val="FootnoteText"/>
      </w:pPr>
      <w:r>
        <w:rPr>
          <w:rStyle w:val="FootnoteReference"/>
        </w:rPr>
        <w:footnoteRef/>
      </w:r>
      <w:r>
        <w:t xml:space="preserve"> Funding for the NAWL project; “Rebuilding Feminist Law Reform Capacity: Substantive Equality in the </w:t>
      </w:r>
      <w:proofErr w:type="gramStart"/>
      <w:r>
        <w:t>Law Making</w:t>
      </w:r>
      <w:proofErr w:type="gramEnd"/>
      <w:r>
        <w:t xml:space="preserve"> Process” was generously provided by Status of Women Canada.</w:t>
      </w:r>
    </w:p>
  </w:footnote>
  <w:footnote w:id="3">
    <w:p w14:paraId="2848F9BA" w14:textId="77777777" w:rsidR="00242B68" w:rsidRPr="00206B11" w:rsidRDefault="00242B68">
      <w:pPr>
        <w:pStyle w:val="FootnoteText"/>
      </w:pPr>
      <w:r>
        <w:rPr>
          <w:rStyle w:val="FootnoteReference"/>
        </w:rPr>
        <w:footnoteRef/>
      </w:r>
      <w:r>
        <w:t xml:space="preserve"> The information that follows in this section draws from </w:t>
      </w:r>
      <w:r w:rsidRPr="008C3C68">
        <w:rPr>
          <w:i/>
        </w:rPr>
        <w:t xml:space="preserve">Eliminating Discrimination under the Registration Provisions of the Indian Act: Culturally Appropriate Consultation with Indigenous Women: Summary Report on </w:t>
      </w:r>
      <w:proofErr w:type="gramStart"/>
      <w:r w:rsidRPr="008C3C68">
        <w:rPr>
          <w:i/>
        </w:rPr>
        <w:t>Consultation</w:t>
      </w:r>
      <w:r>
        <w:t>,  Native</w:t>
      </w:r>
      <w:proofErr w:type="gramEnd"/>
      <w:r>
        <w:t xml:space="preserve"> Women’s Association of Canada (February 2018).</w:t>
      </w:r>
    </w:p>
  </w:footnote>
  <w:footnote w:id="4">
    <w:p w14:paraId="12A12EC9" w14:textId="77777777" w:rsidR="00242B68" w:rsidRPr="00322EAB" w:rsidRDefault="00242B68">
      <w:pPr>
        <w:pStyle w:val="FootnoteText"/>
        <w:rPr>
          <w:b/>
          <w:bCs/>
          <w:i/>
          <w:iCs/>
          <w:lang w:val="fr-CA"/>
        </w:rPr>
      </w:pPr>
      <w:r>
        <w:rPr>
          <w:rStyle w:val="FootnoteReference"/>
        </w:rPr>
        <w:footnoteRef/>
      </w:r>
      <w:r w:rsidRPr="00322EAB">
        <w:rPr>
          <w:lang w:val="fr-CA"/>
        </w:rPr>
        <w:t xml:space="preserve"> </w:t>
      </w:r>
      <w:r w:rsidRPr="00322EAB">
        <w:rPr>
          <w:i/>
          <w:iCs/>
          <w:lang w:val="fr-CA"/>
        </w:rPr>
        <w:t>Descheneaux c. Canada (Procureur général)</w:t>
      </w:r>
      <w:r>
        <w:rPr>
          <w:i/>
          <w:iCs/>
          <w:lang w:val="fr-CA"/>
        </w:rPr>
        <w:t xml:space="preserve"> </w:t>
      </w:r>
      <w:r w:rsidRPr="00322EAB">
        <w:rPr>
          <w:bCs/>
          <w:iCs/>
          <w:lang w:val="fr-CA"/>
        </w:rPr>
        <w:t>2015 QCCS 3555</w:t>
      </w:r>
      <w:r w:rsidRPr="00322EAB">
        <w:rPr>
          <w:b/>
          <w:bCs/>
          <w:i/>
          <w:iCs/>
          <w:lang w:val="fr-CA"/>
        </w:rPr>
        <w:t> </w:t>
      </w:r>
    </w:p>
  </w:footnote>
  <w:footnote w:id="5">
    <w:p w14:paraId="4C8CA32B" w14:textId="77777777" w:rsidR="00242B68" w:rsidRPr="00322EAB" w:rsidRDefault="00242B68">
      <w:pPr>
        <w:pStyle w:val="FootnoteText"/>
        <w:rPr>
          <w:b/>
        </w:rPr>
      </w:pPr>
      <w:r>
        <w:rPr>
          <w:rStyle w:val="FootnoteReference"/>
        </w:rPr>
        <w:footnoteRef/>
      </w:r>
      <w:r>
        <w:t xml:space="preserve"> </w:t>
      </w:r>
      <w:r w:rsidRPr="00322EAB">
        <w:rPr>
          <w:i/>
        </w:rPr>
        <w:t>United Nations Declaration on the Rights of Indigenous Peoples</w:t>
      </w:r>
      <w:r>
        <w:rPr>
          <w:i/>
        </w:rPr>
        <w:t xml:space="preserve"> </w:t>
      </w:r>
      <w:r w:rsidRPr="00322EAB">
        <w:t>[UNDRIP]</w:t>
      </w:r>
      <w:r w:rsidRPr="009357E6">
        <w:rPr>
          <w:rFonts w:ascii="Arial" w:hAnsi="Arial" w:cs="Arial"/>
          <w:color w:val="666666"/>
          <w:sz w:val="24"/>
          <w:szCs w:val="24"/>
          <w:shd w:val="clear" w:color="auto" w:fill="FFFFFF"/>
        </w:rPr>
        <w:t xml:space="preserve"> </w:t>
      </w:r>
      <w:r w:rsidRPr="009357E6">
        <w:t>A/RES/61/295</w:t>
      </w:r>
    </w:p>
  </w:footnote>
  <w:footnote w:id="6">
    <w:p w14:paraId="4A5C93C5" w14:textId="77777777" w:rsidR="00242B68" w:rsidRPr="00B870C1" w:rsidRDefault="00242B68">
      <w:pPr>
        <w:pStyle w:val="FootnoteText"/>
      </w:pPr>
      <w:r>
        <w:rPr>
          <w:rStyle w:val="FootnoteReference"/>
        </w:rPr>
        <w:footnoteRef/>
      </w:r>
      <w:r>
        <w:t xml:space="preserve"> A starting point for the NAP VAW for Canada is reflected in </w:t>
      </w:r>
      <w:r w:rsidRPr="00C33554">
        <w:rPr>
          <w:i/>
        </w:rPr>
        <w:t>a Blueprint for Canada’s National Action Plan (NAP) on Violence against Women and Girls</w:t>
      </w:r>
      <w:r>
        <w:t>, developed collaboratively by 22 parties (including NGOs, unions and activists) in February 2015.</w:t>
      </w:r>
    </w:p>
  </w:footnote>
  <w:footnote w:id="7">
    <w:p w14:paraId="5C9DBCAA" w14:textId="77777777" w:rsidR="00242B68" w:rsidRPr="009357E6" w:rsidRDefault="00242B68">
      <w:pPr>
        <w:pStyle w:val="FootnoteText"/>
      </w:pPr>
      <w:r>
        <w:rPr>
          <w:rStyle w:val="FootnoteReference"/>
        </w:rPr>
        <w:footnoteRef/>
      </w:r>
      <w:r>
        <w:t xml:space="preserve"> </w:t>
      </w:r>
      <w:r w:rsidRPr="00322EAB">
        <w:rPr>
          <w:i/>
        </w:rPr>
        <w:t>Divorce Act</w:t>
      </w:r>
      <w:r>
        <w:t xml:space="preserve"> RSC 1985, c. 3</w:t>
      </w:r>
    </w:p>
  </w:footnote>
  <w:footnote w:id="8">
    <w:p w14:paraId="2A5BA644" w14:textId="77777777" w:rsidR="00242B68" w:rsidRPr="00D52B89" w:rsidRDefault="00242B68">
      <w:pPr>
        <w:pStyle w:val="FootnoteText"/>
        <w:rPr>
          <w:rFonts w:ascii="Times New Roman" w:hAnsi="Times New Roman" w:cs="Times New Roman"/>
        </w:rPr>
      </w:pPr>
      <w:r w:rsidRPr="00D52B89">
        <w:rPr>
          <w:rStyle w:val="FootnoteReference"/>
          <w:rFonts w:ascii="Times New Roman" w:hAnsi="Times New Roman" w:cs="Times New Roman"/>
        </w:rPr>
        <w:footnoteRef/>
      </w:r>
      <w:r w:rsidRPr="00D52B89">
        <w:rPr>
          <w:rFonts w:ascii="Times New Roman" w:hAnsi="Times New Roman" w:cs="Times New Roman"/>
        </w:rPr>
        <w:t xml:space="preserve"> Shana Conroy and Adam Cotter, “Self-reported Sexual Assault in Canada, 2014,” </w:t>
      </w:r>
      <w:proofErr w:type="spellStart"/>
      <w:r w:rsidRPr="00D52B89">
        <w:rPr>
          <w:rFonts w:ascii="Times New Roman" w:hAnsi="Times New Roman" w:cs="Times New Roman"/>
          <w:i/>
        </w:rPr>
        <w:t>Juristat</w:t>
      </w:r>
      <w:proofErr w:type="spellEnd"/>
      <w:r w:rsidRPr="00D52B89">
        <w:rPr>
          <w:rFonts w:ascii="Times New Roman" w:hAnsi="Times New Roman" w:cs="Times New Roman"/>
        </w:rPr>
        <w:t xml:space="preserve">, Statistics Canada, 2017, 85-002-X, </w:t>
      </w:r>
      <w:hyperlink r:id="rId1" w:history="1">
        <w:r w:rsidRPr="00D52B89">
          <w:rPr>
            <w:rStyle w:val="Hyperlink"/>
            <w:rFonts w:ascii="Times New Roman" w:hAnsi="Times New Roman" w:cs="Times New Roman"/>
          </w:rPr>
          <w:t>https://www.statcan.gc.ca/pub/85-002-x/2017001/article/14842-eng.htm</w:t>
        </w:r>
      </w:hyperlink>
      <w:r w:rsidRPr="00D52B89">
        <w:rPr>
          <w:rFonts w:ascii="Times New Roman" w:hAnsi="Times New Roman" w:cs="Times New Roman"/>
        </w:rPr>
        <w:t xml:space="preserve">. </w:t>
      </w:r>
    </w:p>
  </w:footnote>
  <w:footnote w:id="9">
    <w:p w14:paraId="190656BF" w14:textId="77777777" w:rsidR="00242B68" w:rsidRPr="00D52B89" w:rsidRDefault="00242B68">
      <w:pPr>
        <w:pStyle w:val="FootnoteText"/>
        <w:rPr>
          <w:rFonts w:ascii="Times New Roman" w:hAnsi="Times New Roman" w:cs="Times New Roman"/>
        </w:rPr>
      </w:pPr>
      <w:r w:rsidRPr="00D52B89">
        <w:rPr>
          <w:rStyle w:val="FootnoteReference"/>
          <w:rFonts w:ascii="Times New Roman" w:hAnsi="Times New Roman" w:cs="Times New Roman"/>
        </w:rPr>
        <w:footnoteRef/>
      </w:r>
      <w:r w:rsidRPr="00D52B89">
        <w:rPr>
          <w:rFonts w:ascii="Times New Roman" w:hAnsi="Times New Roman" w:cs="Times New Roman"/>
        </w:rPr>
        <w:t xml:space="preserve"> Ibid.</w:t>
      </w:r>
    </w:p>
  </w:footnote>
  <w:footnote w:id="10">
    <w:p w14:paraId="233AA146" w14:textId="77777777" w:rsidR="00242B68" w:rsidRPr="00D52B89" w:rsidRDefault="00242B68">
      <w:pPr>
        <w:pStyle w:val="FootnoteText"/>
        <w:rPr>
          <w:rFonts w:ascii="Times New Roman" w:hAnsi="Times New Roman" w:cs="Times New Roman"/>
        </w:rPr>
      </w:pPr>
      <w:r w:rsidRPr="00D52B89">
        <w:rPr>
          <w:rStyle w:val="FootnoteReference"/>
          <w:rFonts w:ascii="Times New Roman" w:hAnsi="Times New Roman" w:cs="Times New Roman"/>
        </w:rPr>
        <w:footnoteRef/>
      </w:r>
      <w:r w:rsidRPr="00D52B89">
        <w:rPr>
          <w:rFonts w:ascii="Times New Roman" w:hAnsi="Times New Roman" w:cs="Times New Roman"/>
        </w:rPr>
        <w:t xml:space="preserve"> Ibid.</w:t>
      </w:r>
    </w:p>
  </w:footnote>
  <w:footnote w:id="11">
    <w:p w14:paraId="1B49C3A3" w14:textId="77777777" w:rsidR="00242B68" w:rsidRPr="00D52B89" w:rsidRDefault="00242B68">
      <w:pPr>
        <w:pStyle w:val="FootnoteText"/>
        <w:rPr>
          <w:rFonts w:ascii="Times New Roman" w:hAnsi="Times New Roman" w:cs="Times New Roman"/>
        </w:rPr>
      </w:pPr>
      <w:r w:rsidRPr="00D52B89">
        <w:rPr>
          <w:rStyle w:val="FootnoteReference"/>
          <w:rFonts w:ascii="Times New Roman" w:hAnsi="Times New Roman" w:cs="Times New Roman"/>
        </w:rPr>
        <w:footnoteRef/>
      </w:r>
      <w:r w:rsidRPr="00D52B89">
        <w:rPr>
          <w:rFonts w:ascii="Times New Roman" w:hAnsi="Times New Roman" w:cs="Times New Roman"/>
        </w:rPr>
        <w:t xml:space="preserve"> Ibid.</w:t>
      </w:r>
    </w:p>
  </w:footnote>
  <w:footnote w:id="12">
    <w:p w14:paraId="77E30972" w14:textId="77777777" w:rsidR="00242B68" w:rsidRPr="00D52B89" w:rsidRDefault="00242B68">
      <w:pPr>
        <w:pStyle w:val="FootnoteText"/>
        <w:rPr>
          <w:rFonts w:ascii="Times New Roman" w:hAnsi="Times New Roman" w:cs="Times New Roman"/>
        </w:rPr>
      </w:pPr>
      <w:r w:rsidRPr="00D52B89">
        <w:rPr>
          <w:rStyle w:val="FootnoteReference"/>
          <w:rFonts w:ascii="Times New Roman" w:hAnsi="Times New Roman" w:cs="Times New Roman"/>
        </w:rPr>
        <w:footnoteRef/>
      </w:r>
      <w:r w:rsidRPr="00D52B89">
        <w:rPr>
          <w:rFonts w:ascii="Times New Roman" w:hAnsi="Times New Roman" w:cs="Times New Roman"/>
        </w:rPr>
        <w:t xml:space="preserve"> Robyn Doolittle, “The Unfounded Effect,” </w:t>
      </w:r>
      <w:r w:rsidRPr="00D52B89">
        <w:rPr>
          <w:rFonts w:ascii="Times New Roman" w:hAnsi="Times New Roman" w:cs="Times New Roman"/>
          <w:i/>
        </w:rPr>
        <w:t>Globe and Mail</w:t>
      </w:r>
      <w:r w:rsidRPr="00D52B89">
        <w:rPr>
          <w:rFonts w:ascii="Times New Roman" w:hAnsi="Times New Roman" w:cs="Times New Roman"/>
        </w:rPr>
        <w:t>, December 8, 2017, https://www.theglobeandmail.com/news/investigations/unfounded-37272-sexual-assault-cases-being-reviewed-402-unfounded-cases-reopened-so-far/article37245525/.</w:t>
      </w:r>
    </w:p>
  </w:footnote>
  <w:footnote w:id="13">
    <w:p w14:paraId="5BEE5452" w14:textId="06A12868" w:rsidR="00242B68" w:rsidRPr="00D52B89" w:rsidRDefault="00242B68">
      <w:pPr>
        <w:pStyle w:val="FootnoteText"/>
        <w:rPr>
          <w:rFonts w:ascii="Times New Roman" w:hAnsi="Times New Roman" w:cs="Times New Roman"/>
        </w:rPr>
      </w:pPr>
      <w:r w:rsidRPr="00D52B89">
        <w:rPr>
          <w:rStyle w:val="FootnoteReference"/>
          <w:rFonts w:ascii="Times New Roman" w:hAnsi="Times New Roman" w:cs="Times New Roman"/>
        </w:rPr>
        <w:footnoteRef/>
      </w:r>
      <w:r w:rsidRPr="00D52B89">
        <w:rPr>
          <w:rFonts w:ascii="Times New Roman" w:hAnsi="Times New Roman" w:cs="Times New Roman"/>
        </w:rPr>
        <w:t xml:space="preserve"> Elaine Craig, </w:t>
      </w:r>
      <w:r w:rsidRPr="00D52B89">
        <w:rPr>
          <w:rFonts w:ascii="Times New Roman" w:hAnsi="Times New Roman" w:cs="Times New Roman"/>
          <w:i/>
        </w:rPr>
        <w:t>Putting Trials on Trial: Sexual Assault and the Failure of the Legal Profession</w:t>
      </w:r>
      <w:r w:rsidRPr="00D52B89">
        <w:rPr>
          <w:rFonts w:ascii="Times New Roman" w:hAnsi="Times New Roman" w:cs="Times New Roman"/>
        </w:rPr>
        <w:t xml:space="preserve"> </w:t>
      </w:r>
      <w:r>
        <w:rPr>
          <w:rFonts w:ascii="Times New Roman" w:hAnsi="Times New Roman" w:cs="Times New Roman"/>
        </w:rPr>
        <w:t>(</w:t>
      </w:r>
      <w:r w:rsidRPr="00D52B89">
        <w:rPr>
          <w:rFonts w:ascii="Times New Roman" w:hAnsi="Times New Roman" w:cs="Times New Roman"/>
        </w:rPr>
        <w:t xml:space="preserve">Montreal and Toronto: </w:t>
      </w:r>
      <w:r>
        <w:rPr>
          <w:rFonts w:ascii="Times New Roman" w:hAnsi="Times New Roman" w:cs="Times New Roman"/>
        </w:rPr>
        <w:t>McG</w:t>
      </w:r>
      <w:r w:rsidRPr="00D52B89">
        <w:rPr>
          <w:rFonts w:ascii="Times New Roman" w:hAnsi="Times New Roman" w:cs="Times New Roman"/>
        </w:rPr>
        <w:t xml:space="preserve">ill-Queen’s </w:t>
      </w:r>
      <w:proofErr w:type="spellStart"/>
      <w:r w:rsidRPr="00D52B89">
        <w:rPr>
          <w:rFonts w:ascii="Times New Roman" w:hAnsi="Times New Roman" w:cs="Times New Roman"/>
        </w:rPr>
        <w:t>Univ</w:t>
      </w:r>
      <w:proofErr w:type="spellEnd"/>
      <w:r w:rsidRPr="00D52B89">
        <w:rPr>
          <w:rFonts w:ascii="Times New Roman" w:hAnsi="Times New Roman" w:cs="Times New Roman"/>
        </w:rPr>
        <w:t xml:space="preserve"> Press, 2018</w:t>
      </w:r>
      <w:r>
        <w:rPr>
          <w:rFonts w:ascii="Times New Roman" w:hAnsi="Times New Roman" w:cs="Times New Roman"/>
        </w:rPr>
        <w:t>).</w:t>
      </w:r>
    </w:p>
  </w:footnote>
  <w:footnote w:id="14">
    <w:p w14:paraId="6125BC02" w14:textId="77777777" w:rsidR="00242B68" w:rsidRPr="00D52B89" w:rsidRDefault="00242B68">
      <w:pPr>
        <w:pStyle w:val="FootnoteText"/>
        <w:rPr>
          <w:rFonts w:ascii="Times New Roman" w:hAnsi="Times New Roman" w:cs="Times New Roman"/>
        </w:rPr>
      </w:pPr>
      <w:r w:rsidRPr="00D52B89">
        <w:rPr>
          <w:rStyle w:val="FootnoteReference"/>
          <w:rFonts w:ascii="Times New Roman" w:hAnsi="Times New Roman" w:cs="Times New Roman"/>
        </w:rPr>
        <w:footnoteRef/>
      </w:r>
      <w:r w:rsidRPr="00D52B89">
        <w:rPr>
          <w:rFonts w:ascii="Times New Roman" w:hAnsi="Times New Roman" w:cs="Times New Roman"/>
        </w:rPr>
        <w:t xml:space="preserve"> Canadian Judicial Council, </w:t>
      </w:r>
      <w:r w:rsidRPr="00D52B89">
        <w:rPr>
          <w:rFonts w:ascii="Times New Roman" w:hAnsi="Times New Roman" w:cs="Times New Roman"/>
          <w:i/>
        </w:rPr>
        <w:t xml:space="preserve">In the Matter of s. 63 of the </w:t>
      </w:r>
      <w:r w:rsidRPr="00D52B89">
        <w:rPr>
          <w:rFonts w:ascii="Times New Roman" w:hAnsi="Times New Roman" w:cs="Times New Roman"/>
        </w:rPr>
        <w:t>Judges Act</w:t>
      </w:r>
      <w:r w:rsidRPr="00D52B89">
        <w:rPr>
          <w:rFonts w:ascii="Times New Roman" w:hAnsi="Times New Roman" w:cs="Times New Roman"/>
          <w:i/>
        </w:rPr>
        <w:t xml:space="preserve">, R.S., C. J-1, Canadian Judicial Council Inquiry into the Conduct of the </w:t>
      </w:r>
      <w:proofErr w:type="spellStart"/>
      <w:r w:rsidRPr="00D52B89">
        <w:rPr>
          <w:rFonts w:ascii="Times New Roman" w:hAnsi="Times New Roman" w:cs="Times New Roman"/>
          <w:i/>
        </w:rPr>
        <w:t>Honourable</w:t>
      </w:r>
      <w:proofErr w:type="spellEnd"/>
      <w:r w:rsidRPr="00D52B89">
        <w:rPr>
          <w:rFonts w:ascii="Times New Roman" w:hAnsi="Times New Roman" w:cs="Times New Roman"/>
          <w:i/>
        </w:rPr>
        <w:t xml:space="preserve"> Robin Camp – Report to the Minister of Justice</w:t>
      </w:r>
      <w:r w:rsidRPr="00D52B89">
        <w:rPr>
          <w:rFonts w:ascii="Times New Roman" w:hAnsi="Times New Roman" w:cs="Times New Roman"/>
        </w:rPr>
        <w:t xml:space="preserve"> (Ottawa: 8 March 2017) at paras 13, 53. Available online: &lt;</w:t>
      </w:r>
      <w:hyperlink r:id="rId2" w:history="1">
        <w:r w:rsidRPr="00D52B89">
          <w:rPr>
            <w:rStyle w:val="Hyperlink"/>
            <w:rFonts w:ascii="Times New Roman" w:hAnsi="Times New Roman" w:cs="Times New Roman"/>
          </w:rPr>
          <w:t>https://www.cjc-ccm.gc.ca/cmslib/general/Camp_Docs/2017-03-08%20Report%20to%20Minister.pdf</w:t>
        </w:r>
      </w:hyperlink>
      <w:r w:rsidRPr="00D52B89">
        <w:rPr>
          <w:rFonts w:ascii="Times New Roman" w:hAnsi="Times New Roman" w:cs="Times New Roman"/>
        </w:rPr>
        <w:t xml:space="preserve"> &gt;.  </w:t>
      </w:r>
    </w:p>
  </w:footnote>
  <w:footnote w:id="15">
    <w:p w14:paraId="7FAA79FB" w14:textId="77777777" w:rsidR="00242B68" w:rsidRPr="00D52B89" w:rsidRDefault="00242B68" w:rsidP="00D52B89">
      <w:pPr>
        <w:pStyle w:val="FootnoteText"/>
        <w:rPr>
          <w:rFonts w:ascii="Times New Roman" w:hAnsi="Times New Roman" w:cs="Times New Roman"/>
        </w:rPr>
      </w:pPr>
      <w:r w:rsidRPr="00D52B89">
        <w:rPr>
          <w:rStyle w:val="FootnoteReference"/>
          <w:rFonts w:ascii="Times New Roman" w:hAnsi="Times New Roman" w:cs="Times New Roman"/>
        </w:rPr>
        <w:footnoteRef/>
      </w:r>
      <w:r w:rsidRPr="00D52B89">
        <w:rPr>
          <w:rFonts w:ascii="Times New Roman" w:hAnsi="Times New Roman" w:cs="Times New Roman"/>
        </w:rPr>
        <w:t xml:space="preserve"> </w:t>
      </w:r>
      <w:r w:rsidRPr="00D52B89">
        <w:rPr>
          <w:rFonts w:ascii="Times New Roman" w:hAnsi="Times New Roman" w:cs="Times New Roman"/>
          <w:i/>
        </w:rPr>
        <w:t xml:space="preserve">Independent Review of Circumstances Surrounding the Treatment of “Angela Cardinal” in R. v. Blanchard. </w:t>
      </w:r>
      <w:r w:rsidRPr="00D52B89">
        <w:rPr>
          <w:rFonts w:ascii="Times New Roman" w:hAnsi="Times New Roman" w:cs="Times New Roman"/>
        </w:rPr>
        <w:t xml:space="preserve">(Alberta: 15 October 2017). Available online: </w:t>
      </w:r>
    </w:p>
    <w:p w14:paraId="4A16898B" w14:textId="77777777" w:rsidR="00242B68" w:rsidRPr="00D52B89" w:rsidRDefault="00242B68" w:rsidP="00D52B89">
      <w:pPr>
        <w:pStyle w:val="FootnoteText"/>
        <w:rPr>
          <w:rFonts w:ascii="Times New Roman" w:hAnsi="Times New Roman" w:cs="Times New Roman"/>
        </w:rPr>
      </w:pPr>
      <w:r w:rsidRPr="00D52B89">
        <w:rPr>
          <w:rStyle w:val="FootnoteReference"/>
          <w:rFonts w:ascii="Times New Roman" w:hAnsi="Times New Roman" w:cs="Times New Roman"/>
        </w:rPr>
        <w:footnoteRef/>
      </w:r>
      <w:r w:rsidRPr="00D52B89">
        <w:rPr>
          <w:rFonts w:ascii="Times New Roman" w:hAnsi="Times New Roman" w:cs="Times New Roman"/>
          <w:i/>
        </w:rPr>
        <w:t>Independent Report on the Incarceration of Angela Cardinal</w:t>
      </w:r>
      <w:r w:rsidRPr="00D52B89">
        <w:rPr>
          <w:rFonts w:ascii="Times New Roman" w:hAnsi="Times New Roman" w:cs="Times New Roman"/>
        </w:rPr>
        <w:t xml:space="preserve"> (Alberta: 23 February 2018). Available online: &lt;</w:t>
      </w:r>
      <w:hyperlink r:id="rId3" w:history="1">
        <w:r w:rsidRPr="00D52B89">
          <w:rPr>
            <w:rStyle w:val="Hyperlink"/>
            <w:rFonts w:ascii="Times New Roman" w:hAnsi="Times New Roman" w:cs="Times New Roman"/>
          </w:rPr>
          <w:t>https://justice.alberta.ca/publiccampations/Documents/IndependentReportIncarceration-AngelaCardinal.pdf</w:t>
        </w:r>
      </w:hyperlink>
      <w:r w:rsidRPr="00D52B89">
        <w:rPr>
          <w:rFonts w:ascii="Times New Roman" w:hAnsi="Times New Roman" w:cs="Times New Roman"/>
        </w:rPr>
        <w:t xml:space="preserve"> &gt;.</w:t>
      </w:r>
    </w:p>
  </w:footnote>
  <w:footnote w:id="16">
    <w:p w14:paraId="76494C9B" w14:textId="0448B4E1" w:rsidR="00920008" w:rsidRPr="00920008" w:rsidRDefault="00920008">
      <w:pPr>
        <w:pStyle w:val="FootnoteText"/>
      </w:pPr>
      <w:r>
        <w:rPr>
          <w:rStyle w:val="FootnoteReference"/>
        </w:rPr>
        <w:footnoteRef/>
      </w:r>
      <w:r>
        <w:t xml:space="preserve"> </w:t>
      </w:r>
      <w:r w:rsidRPr="00D2019A">
        <w:t>http://www.canadianwomen.org/sites/canadianwomen.org/files//CWF-TraffickingReport-Auto%20%281%29_0.pdf</w:t>
      </w:r>
    </w:p>
  </w:footnote>
  <w:footnote w:id="17">
    <w:p w14:paraId="7E0BA460" w14:textId="77777777" w:rsidR="00242B68" w:rsidRPr="0074583C" w:rsidRDefault="00242B68">
      <w:pPr>
        <w:pStyle w:val="FootnoteText"/>
        <w:rPr>
          <w:lang w:val="en-CA"/>
        </w:rPr>
      </w:pPr>
      <w:r>
        <w:rPr>
          <w:rStyle w:val="FootnoteReference"/>
        </w:rPr>
        <w:footnoteRef/>
      </w:r>
      <w:r>
        <w:t xml:space="preserve"> See Ayden </w:t>
      </w:r>
      <w:proofErr w:type="spellStart"/>
      <w:r>
        <w:t>Scheim</w:t>
      </w:r>
      <w:proofErr w:type="spellEnd"/>
      <w:r>
        <w:t xml:space="preserve"> et al. “Barriers to well-being for Aboriginal gender-diverse people: Results from the Trans PULSE Project in Ontario, Canada” </w:t>
      </w:r>
      <w:r>
        <w:rPr>
          <w:i/>
        </w:rPr>
        <w:t xml:space="preserve">Ethnicity and Inequalities in Health and Social Care </w:t>
      </w:r>
      <w:r>
        <w:t xml:space="preserve">(Vol. 6 No. 4, 2013); </w:t>
      </w:r>
      <w:proofErr w:type="spellStart"/>
      <w:r>
        <w:t>Ristock</w:t>
      </w:r>
      <w:proofErr w:type="spellEnd"/>
      <w:r>
        <w:t xml:space="preserve">, J. et. al. (2010), “Aboriginal Two-Spirit and LGBTQ Migration, Mobility, and Health Research Project: Winnipeg Final Report,” Winnipeg; Taylor, C. (2009), “Health and safety issues for Aboriginal transgender/two spirit people in Manitoba”, Canadian Journal of Aboriginal Community-Based HIV/AIDS Research, Vol. 2, pp. 63-84; </w:t>
      </w:r>
      <w:proofErr w:type="spellStart"/>
      <w:r>
        <w:t>Teengs</w:t>
      </w:r>
      <w:proofErr w:type="spellEnd"/>
      <w:r>
        <w:t xml:space="preserve">, D.O. and Travers, R. (2006), “‘River of life, rapids of change’: understanding HIV vulnerability among two-spirit youth who migrate to Toronto”, </w:t>
      </w:r>
      <w:r>
        <w:rPr>
          <w:i/>
        </w:rPr>
        <w:t>Canadian Journal of Aboriginal Community-Based HIV/AIDS Research</w:t>
      </w:r>
      <w:r>
        <w:t>, Vol. 1, pp. 17-28.</w:t>
      </w:r>
    </w:p>
  </w:footnote>
  <w:footnote w:id="18">
    <w:p w14:paraId="1FADE180" w14:textId="77777777" w:rsidR="008D392C" w:rsidRPr="00BB0284" w:rsidRDefault="008D392C">
      <w:pPr>
        <w:pStyle w:val="FootnoteText"/>
        <w:rPr>
          <w:lang w:val="en-CA"/>
        </w:rPr>
      </w:pPr>
      <w:r>
        <w:rPr>
          <w:rStyle w:val="FootnoteReference"/>
        </w:rPr>
        <w:footnoteRef/>
      </w:r>
      <w:r>
        <w:t xml:space="preserve"> </w:t>
      </w:r>
      <w:r>
        <w:rPr>
          <w:i/>
        </w:rPr>
        <w:t>Bill</w:t>
      </w:r>
      <w:r>
        <w:t xml:space="preserve"> </w:t>
      </w:r>
      <w:r w:rsidRPr="00BB0284">
        <w:rPr>
          <w:i/>
        </w:rPr>
        <w:t>65</w:t>
      </w:r>
      <w:r>
        <w:t>,</w:t>
      </w:r>
      <w:r>
        <w:rPr>
          <w:i/>
        </w:rPr>
        <w:t xml:space="preserve"> </w:t>
      </w:r>
      <w:r w:rsidRPr="008D392C">
        <w:t xml:space="preserve">An Act to amend the Canada </w:t>
      </w:r>
      <w:proofErr w:type="spellStart"/>
      <w:r w:rsidRPr="008D392C">
        <w:t>Labour</w:t>
      </w:r>
      <w:proofErr w:type="spellEnd"/>
      <w:r w:rsidRPr="008D392C">
        <w:t xml:space="preserve"> Code (harassment and violence), the Parliamentary Employment and Staff Relations Act and the Budget Implementation Act, 2017, No. 1</w:t>
      </w:r>
    </w:p>
  </w:footnote>
  <w:footnote w:id="19">
    <w:p w14:paraId="6CB0B141" w14:textId="77777777" w:rsidR="00242B68" w:rsidRPr="006E4E65" w:rsidRDefault="00242B68" w:rsidP="00120EAE">
      <w:pPr>
        <w:pStyle w:val="FootnoteText"/>
        <w:rPr>
          <w:rFonts w:cstheme="minorHAnsi"/>
          <w:sz w:val="18"/>
          <w:szCs w:val="18"/>
        </w:rPr>
      </w:pPr>
      <w:r w:rsidRPr="006E4E65">
        <w:rPr>
          <w:rStyle w:val="FootnoteReference"/>
          <w:rFonts w:cstheme="minorHAnsi"/>
          <w:sz w:val="18"/>
          <w:szCs w:val="18"/>
        </w:rPr>
        <w:footnoteRef/>
      </w:r>
      <w:r w:rsidRPr="006E4E65">
        <w:rPr>
          <w:rFonts w:cstheme="minorHAnsi"/>
          <w:sz w:val="18"/>
          <w:szCs w:val="18"/>
        </w:rPr>
        <w:t xml:space="preserve"> CEDAW. General Recommendation 24 on women and health. (1999).</w:t>
      </w:r>
    </w:p>
  </w:footnote>
  <w:footnote w:id="20">
    <w:p w14:paraId="518D0EF0" w14:textId="77777777" w:rsidR="00242B68" w:rsidRPr="006E4E65" w:rsidRDefault="00242B68" w:rsidP="00120EAE">
      <w:pPr>
        <w:pStyle w:val="FootnoteText"/>
        <w:rPr>
          <w:rFonts w:cstheme="minorHAnsi"/>
          <w:sz w:val="18"/>
          <w:szCs w:val="18"/>
        </w:rPr>
      </w:pPr>
      <w:r w:rsidRPr="006E4E65">
        <w:rPr>
          <w:rStyle w:val="FootnoteReference"/>
          <w:rFonts w:cstheme="minorHAnsi"/>
          <w:sz w:val="18"/>
          <w:szCs w:val="18"/>
        </w:rPr>
        <w:footnoteRef/>
      </w:r>
      <w:r w:rsidRPr="006E4E65">
        <w:rPr>
          <w:rFonts w:cstheme="minorHAnsi"/>
          <w:sz w:val="18"/>
          <w:szCs w:val="18"/>
        </w:rPr>
        <w:t xml:space="preserve"> CEDAW Concluding Observations to Slovakia. (CEDAW/C/SVK/CO/4), 2009, and CEDAW General Recommendation 24. 1999. </w:t>
      </w:r>
    </w:p>
  </w:footnote>
  <w:footnote w:id="21">
    <w:p w14:paraId="2B82DEA3" w14:textId="77777777" w:rsidR="00242B68" w:rsidRPr="006E4E65" w:rsidRDefault="00242B68" w:rsidP="00120EAE">
      <w:pPr>
        <w:pStyle w:val="FootnoteText"/>
        <w:rPr>
          <w:rFonts w:cstheme="minorHAnsi"/>
          <w:sz w:val="18"/>
          <w:szCs w:val="18"/>
        </w:rPr>
      </w:pPr>
      <w:r w:rsidRPr="006E4E65">
        <w:rPr>
          <w:rStyle w:val="FootnoteReference"/>
          <w:rFonts w:cstheme="minorHAnsi"/>
          <w:sz w:val="18"/>
          <w:szCs w:val="18"/>
        </w:rPr>
        <w:footnoteRef/>
      </w:r>
      <w:r w:rsidRPr="006E4E65">
        <w:rPr>
          <w:rFonts w:cstheme="minorHAnsi"/>
          <w:sz w:val="18"/>
          <w:szCs w:val="18"/>
        </w:rPr>
        <w:t xml:space="preserve"> CEDAW General Recommendation 24. 1999.</w:t>
      </w:r>
    </w:p>
  </w:footnote>
  <w:footnote w:id="22">
    <w:p w14:paraId="56A3D7B3" w14:textId="77777777" w:rsidR="00242B68" w:rsidRPr="006E4E65" w:rsidRDefault="00242B68" w:rsidP="00120EAE">
      <w:pPr>
        <w:pStyle w:val="FootnoteText"/>
        <w:rPr>
          <w:rFonts w:cstheme="minorHAnsi"/>
          <w:sz w:val="18"/>
          <w:szCs w:val="18"/>
        </w:rPr>
      </w:pPr>
      <w:r w:rsidRPr="006E4E65">
        <w:rPr>
          <w:rStyle w:val="FootnoteReference"/>
          <w:rFonts w:cstheme="minorHAnsi"/>
          <w:sz w:val="18"/>
          <w:szCs w:val="18"/>
        </w:rPr>
        <w:footnoteRef/>
      </w:r>
      <w:r w:rsidRPr="006E4E65">
        <w:rPr>
          <w:rFonts w:cstheme="minorHAnsi"/>
          <w:sz w:val="18"/>
          <w:szCs w:val="18"/>
        </w:rPr>
        <w:t xml:space="preserve"> CEDAW. 1999. “CEDAW General Recommendation No. 24: Article 12 of the Convention (Women and Health). </w:t>
      </w:r>
      <w:hyperlink r:id="rId4" w:history="1">
        <w:r w:rsidRPr="005A3F32">
          <w:rPr>
            <w:rStyle w:val="Hyperlink"/>
            <w:rFonts w:cstheme="minorHAnsi"/>
            <w:color w:val="auto"/>
            <w:sz w:val="18"/>
            <w:szCs w:val="18"/>
          </w:rPr>
          <w:t>http://www.ohchr.org/Documents/Issues/Women/WRGS/Health/GR24.pdf</w:t>
        </w:r>
      </w:hyperlink>
      <w:r w:rsidRPr="005A3F32">
        <w:rPr>
          <w:rFonts w:cstheme="minorHAnsi"/>
          <w:sz w:val="18"/>
          <w:szCs w:val="18"/>
        </w:rPr>
        <w:t xml:space="preserve"> </w:t>
      </w:r>
    </w:p>
  </w:footnote>
  <w:footnote w:id="23">
    <w:p w14:paraId="6696C89D" w14:textId="77777777" w:rsidR="00242B68" w:rsidRPr="006E4E65" w:rsidRDefault="00242B68" w:rsidP="00120EAE">
      <w:pPr>
        <w:pStyle w:val="FootnoteText"/>
        <w:rPr>
          <w:rFonts w:cstheme="minorHAnsi"/>
          <w:sz w:val="18"/>
          <w:szCs w:val="18"/>
        </w:rPr>
      </w:pPr>
      <w:r w:rsidRPr="006E4E65">
        <w:rPr>
          <w:rStyle w:val="FootnoteReference"/>
          <w:rFonts w:cstheme="minorHAnsi"/>
          <w:sz w:val="18"/>
          <w:szCs w:val="18"/>
        </w:rPr>
        <w:footnoteRef/>
      </w:r>
      <w:r w:rsidRPr="006E4E65">
        <w:rPr>
          <w:rFonts w:cstheme="minorHAnsi"/>
          <w:sz w:val="18"/>
          <w:szCs w:val="18"/>
        </w:rPr>
        <w:t xml:space="preserve"> CEDAW. 1999. “CEDAW General Recommendation No. 24: Article 12 of the Convention (Women and Health). </w:t>
      </w:r>
      <w:hyperlink r:id="rId5" w:history="1">
        <w:r w:rsidRPr="005A3F32">
          <w:rPr>
            <w:rStyle w:val="Hyperlink"/>
            <w:rFonts w:cstheme="minorHAnsi"/>
            <w:color w:val="auto"/>
            <w:sz w:val="18"/>
            <w:szCs w:val="18"/>
          </w:rPr>
          <w:t>http://www.ohchr.org/Documents/Issues/Women/WRGS/Health/GR24.pdf</w:t>
        </w:r>
      </w:hyperlink>
      <w:r w:rsidRPr="005A3F32">
        <w:rPr>
          <w:rFonts w:cstheme="minorHAnsi"/>
          <w:sz w:val="18"/>
          <w:szCs w:val="18"/>
        </w:rPr>
        <w:t xml:space="preserve"> </w:t>
      </w:r>
    </w:p>
  </w:footnote>
  <w:footnote w:id="24">
    <w:p w14:paraId="65291209" w14:textId="794FCB7E" w:rsidR="00304187" w:rsidRPr="00304187" w:rsidRDefault="00304187">
      <w:pPr>
        <w:pStyle w:val="FootnoteText"/>
      </w:pPr>
      <w:r>
        <w:rPr>
          <w:rStyle w:val="FootnoteReference"/>
        </w:rPr>
        <w:footnoteRef/>
      </w:r>
      <w:r>
        <w:t xml:space="preserve"> </w:t>
      </w:r>
      <w:r w:rsidRPr="00304187">
        <w:rPr>
          <w:i/>
        </w:rPr>
        <w:t>R v Morgentaler</w:t>
      </w:r>
      <w:r>
        <w:rPr>
          <w:i/>
        </w:rPr>
        <w:t xml:space="preserve"> </w:t>
      </w:r>
      <w:r>
        <w:t>1 SCR 30.</w:t>
      </w:r>
    </w:p>
  </w:footnote>
  <w:footnote w:id="25">
    <w:p w14:paraId="419B2007" w14:textId="77777777" w:rsidR="00242B68" w:rsidRPr="006E4E65" w:rsidRDefault="00242B68" w:rsidP="00120EAE">
      <w:pPr>
        <w:rPr>
          <w:rFonts w:cstheme="minorHAnsi"/>
          <w:sz w:val="18"/>
          <w:szCs w:val="18"/>
        </w:rPr>
      </w:pPr>
      <w:r w:rsidRPr="006E4E65">
        <w:rPr>
          <w:rStyle w:val="FootnoteReference"/>
          <w:rFonts w:cstheme="minorHAnsi"/>
          <w:sz w:val="18"/>
          <w:szCs w:val="18"/>
        </w:rPr>
        <w:footnoteRef/>
      </w:r>
      <w:r w:rsidRPr="006E4E65">
        <w:rPr>
          <w:rFonts w:cstheme="minorHAnsi"/>
          <w:sz w:val="18"/>
          <w:szCs w:val="18"/>
        </w:rPr>
        <w:t xml:space="preserve"> Norman WV, Soon JA, </w:t>
      </w:r>
      <w:proofErr w:type="spellStart"/>
      <w:r w:rsidRPr="006E4E65">
        <w:rPr>
          <w:rFonts w:cstheme="minorHAnsi"/>
          <w:sz w:val="18"/>
          <w:szCs w:val="18"/>
        </w:rPr>
        <w:t>Maughn</w:t>
      </w:r>
      <w:proofErr w:type="spellEnd"/>
      <w:r w:rsidRPr="006E4E65">
        <w:rPr>
          <w:rFonts w:cstheme="minorHAnsi"/>
          <w:sz w:val="18"/>
          <w:szCs w:val="18"/>
        </w:rPr>
        <w:t xml:space="preserve"> N, Dressler J (2013). </w:t>
      </w:r>
      <w:r w:rsidRPr="006E4E65">
        <w:rPr>
          <w:rFonts w:cstheme="minorHAnsi"/>
          <w:i/>
          <w:sz w:val="18"/>
          <w:szCs w:val="18"/>
        </w:rPr>
        <w:t>Barriers to Rural Induced Abortion Services in Canada: Findings of the British Columbia Abortion Providers Survey (BCAPS)</w:t>
      </w:r>
      <w:r w:rsidRPr="006E4E65">
        <w:rPr>
          <w:rFonts w:cstheme="minorHAnsi"/>
          <w:sz w:val="18"/>
          <w:szCs w:val="18"/>
        </w:rPr>
        <w:t xml:space="preserve">. </w:t>
      </w:r>
      <w:proofErr w:type="spellStart"/>
      <w:r w:rsidRPr="006E4E65">
        <w:rPr>
          <w:rFonts w:cstheme="minorHAnsi"/>
          <w:sz w:val="18"/>
          <w:szCs w:val="18"/>
        </w:rPr>
        <w:t>PLoS</w:t>
      </w:r>
      <w:proofErr w:type="spellEnd"/>
      <w:r w:rsidRPr="006E4E65">
        <w:rPr>
          <w:rFonts w:cstheme="minorHAnsi"/>
          <w:sz w:val="18"/>
          <w:szCs w:val="18"/>
        </w:rPr>
        <w:t xml:space="preserve"> ONE 8(6).</w:t>
      </w:r>
    </w:p>
  </w:footnote>
  <w:footnote w:id="26">
    <w:p w14:paraId="77288315" w14:textId="77777777" w:rsidR="00242B68" w:rsidRPr="006E4E65" w:rsidRDefault="00242B68" w:rsidP="00120EAE">
      <w:pPr>
        <w:rPr>
          <w:rFonts w:cstheme="minorHAnsi"/>
          <w:sz w:val="18"/>
          <w:szCs w:val="18"/>
        </w:rPr>
      </w:pPr>
      <w:r w:rsidRPr="006E4E65">
        <w:rPr>
          <w:rStyle w:val="FootnoteReference"/>
          <w:rFonts w:cstheme="minorHAnsi"/>
          <w:sz w:val="18"/>
          <w:szCs w:val="18"/>
        </w:rPr>
        <w:footnoteRef/>
      </w:r>
      <w:r w:rsidRPr="006E4E65">
        <w:rPr>
          <w:rFonts w:cstheme="minorHAnsi"/>
          <w:sz w:val="18"/>
          <w:szCs w:val="18"/>
        </w:rPr>
        <w:t xml:space="preserve"> Shaw, Jessica (2006). </w:t>
      </w:r>
      <w:r w:rsidRPr="006E4E65">
        <w:rPr>
          <w:rFonts w:cstheme="minorHAnsi"/>
          <w:i/>
          <w:sz w:val="18"/>
          <w:szCs w:val="18"/>
        </w:rPr>
        <w:t xml:space="preserve">Reality Check: A Close Look </w:t>
      </w:r>
      <w:proofErr w:type="gramStart"/>
      <w:r w:rsidRPr="006E4E65">
        <w:rPr>
          <w:rFonts w:cstheme="minorHAnsi"/>
          <w:i/>
          <w:sz w:val="18"/>
          <w:szCs w:val="18"/>
        </w:rPr>
        <w:t>At</w:t>
      </w:r>
      <w:proofErr w:type="gramEnd"/>
      <w:r w:rsidRPr="006E4E65">
        <w:rPr>
          <w:rFonts w:cstheme="minorHAnsi"/>
          <w:i/>
          <w:sz w:val="18"/>
          <w:szCs w:val="18"/>
        </w:rPr>
        <w:t xml:space="preserve"> Accessing Hospital Abortion Services In Canada</w:t>
      </w:r>
      <w:r w:rsidRPr="006E4E65">
        <w:rPr>
          <w:rFonts w:cstheme="minorHAnsi"/>
          <w:sz w:val="18"/>
          <w:szCs w:val="18"/>
        </w:rPr>
        <w:t>. Ottawa: Canadians for Choice. [This qualitative study has not been updated, thus this data has not been validated since 2006 – but to our knowledge a number of hospitals have ceased offering abortion services since that time, and as a result we would expect the current picture to reflect an even more significant disparity.]</w:t>
      </w:r>
    </w:p>
  </w:footnote>
  <w:footnote w:id="27">
    <w:p w14:paraId="6839B4F6" w14:textId="77777777" w:rsidR="00242B68" w:rsidRPr="006E4E65" w:rsidRDefault="00242B68" w:rsidP="00120EAE">
      <w:pPr>
        <w:pStyle w:val="FootnoteText"/>
        <w:rPr>
          <w:rFonts w:cstheme="minorHAnsi"/>
          <w:sz w:val="18"/>
          <w:szCs w:val="18"/>
        </w:rPr>
      </w:pPr>
      <w:r w:rsidRPr="006E4E65">
        <w:rPr>
          <w:rStyle w:val="FootnoteReference"/>
          <w:rFonts w:cstheme="minorHAnsi"/>
          <w:sz w:val="18"/>
          <w:szCs w:val="18"/>
        </w:rPr>
        <w:footnoteRef/>
      </w:r>
      <w:r w:rsidRPr="006E4E65">
        <w:rPr>
          <w:rFonts w:cstheme="minorHAnsi"/>
          <w:sz w:val="18"/>
          <w:szCs w:val="18"/>
        </w:rPr>
        <w:t xml:space="preserve"> Most located within 150 KM of the US border.</w:t>
      </w:r>
    </w:p>
  </w:footnote>
  <w:footnote w:id="28">
    <w:p w14:paraId="08E036C9" w14:textId="77777777" w:rsidR="00242B68" w:rsidRPr="006E4E65" w:rsidRDefault="00242B68" w:rsidP="00120EAE">
      <w:pPr>
        <w:pStyle w:val="FootnoteText"/>
        <w:rPr>
          <w:rFonts w:cstheme="minorHAnsi"/>
          <w:sz w:val="18"/>
          <w:szCs w:val="18"/>
        </w:rPr>
      </w:pPr>
      <w:r w:rsidRPr="006E4E65">
        <w:rPr>
          <w:rStyle w:val="FootnoteReference"/>
          <w:rFonts w:cstheme="minorHAnsi"/>
          <w:sz w:val="18"/>
          <w:szCs w:val="18"/>
        </w:rPr>
        <w:footnoteRef/>
      </w:r>
      <w:r w:rsidRPr="006E4E65">
        <w:rPr>
          <w:rFonts w:cstheme="minorHAnsi"/>
          <w:sz w:val="18"/>
          <w:szCs w:val="18"/>
        </w:rPr>
        <w:t xml:space="preserve"> There are approximately 20 points of service for those beyond 16 weeks’ gestation. The majority are located in Québec and Ontario. There are no providers offering services beyond 16 weeks in Manitoba, New Brunswick, Newfoundland, Nova Scotia, Nunavut, and Yukon. There are some cases in which women can access services beyond 23 weeks in Canada, however, this is mainly in cases of </w:t>
      </w:r>
      <w:proofErr w:type="spellStart"/>
      <w:r w:rsidRPr="006E4E65">
        <w:rPr>
          <w:rFonts w:cstheme="minorHAnsi"/>
          <w:sz w:val="18"/>
          <w:szCs w:val="18"/>
        </w:rPr>
        <w:t>foetal</w:t>
      </w:r>
      <w:proofErr w:type="spellEnd"/>
      <w:r w:rsidRPr="006E4E65">
        <w:rPr>
          <w:rFonts w:cstheme="minorHAnsi"/>
          <w:sz w:val="18"/>
          <w:szCs w:val="18"/>
        </w:rPr>
        <w:t xml:space="preserve"> abnormality. There are no physicians or clinics that publicly advertise such services after 24 weeks.  </w:t>
      </w:r>
    </w:p>
  </w:footnote>
  <w:footnote w:id="29">
    <w:p w14:paraId="1CA26256" w14:textId="77777777" w:rsidR="00242B68" w:rsidRPr="006E4E65" w:rsidRDefault="00242B68" w:rsidP="00120EAE">
      <w:pPr>
        <w:pStyle w:val="FootnoteText"/>
        <w:rPr>
          <w:rFonts w:cstheme="minorHAnsi"/>
          <w:sz w:val="18"/>
          <w:szCs w:val="18"/>
        </w:rPr>
      </w:pPr>
      <w:r w:rsidRPr="006E4E65">
        <w:rPr>
          <w:rStyle w:val="FootnoteReference"/>
          <w:rFonts w:cstheme="minorHAnsi"/>
          <w:sz w:val="18"/>
          <w:szCs w:val="18"/>
        </w:rPr>
        <w:footnoteRef/>
      </w:r>
      <w:r w:rsidRPr="006E4E65">
        <w:rPr>
          <w:rFonts w:cstheme="minorHAnsi"/>
          <w:sz w:val="18"/>
          <w:szCs w:val="18"/>
        </w:rPr>
        <w:t xml:space="preserve"> Which include: unforeseen monetary expenses incurred for things such as travel, accommodation, lost wages, childcare, eldercare, and possibly procedural costs (see paragraph 22). These disproportionately impacting low-income women.</w:t>
      </w:r>
    </w:p>
  </w:footnote>
  <w:footnote w:id="30">
    <w:p w14:paraId="1CA34241" w14:textId="77777777" w:rsidR="00242B68" w:rsidRPr="006E4E65" w:rsidRDefault="00242B68" w:rsidP="00120EAE">
      <w:pPr>
        <w:pStyle w:val="FootnoteText"/>
        <w:rPr>
          <w:rFonts w:cstheme="minorHAnsi"/>
          <w:sz w:val="18"/>
          <w:szCs w:val="18"/>
        </w:rPr>
      </w:pPr>
      <w:r w:rsidRPr="006E4E65">
        <w:rPr>
          <w:rStyle w:val="FootnoteReference"/>
          <w:rFonts w:cstheme="minorHAnsi"/>
          <w:sz w:val="18"/>
          <w:szCs w:val="18"/>
        </w:rPr>
        <w:footnoteRef/>
      </w:r>
      <w:r w:rsidRPr="006E4E65">
        <w:rPr>
          <w:rFonts w:cstheme="minorHAnsi"/>
          <w:sz w:val="18"/>
          <w:szCs w:val="18"/>
        </w:rPr>
        <w:t xml:space="preserve"> The Guardian. “Women turning to desperate measures due to lack of abortion services.” November 2011. </w:t>
      </w:r>
      <w:hyperlink r:id="rId6" w:history="1">
        <w:r w:rsidRPr="005A3F32">
          <w:rPr>
            <w:rStyle w:val="Hyperlink"/>
            <w:rFonts w:cstheme="minorHAnsi"/>
            <w:color w:val="auto"/>
            <w:sz w:val="18"/>
            <w:szCs w:val="18"/>
          </w:rPr>
          <w:t>http://www.theguardian.pe.ca/News/Local/2011-11-10/article-2802198/Women-turning-to-desperate-measures-due-to-lack-of-abortion-services/1</w:t>
        </w:r>
      </w:hyperlink>
      <w:r w:rsidRPr="005A3F32">
        <w:rPr>
          <w:rFonts w:cstheme="minorHAnsi"/>
          <w:sz w:val="18"/>
          <w:szCs w:val="18"/>
        </w:rPr>
        <w:t xml:space="preserve"> </w:t>
      </w:r>
      <w:r w:rsidRPr="006E4E65">
        <w:rPr>
          <w:rFonts w:cstheme="minorHAnsi"/>
          <w:sz w:val="18"/>
          <w:szCs w:val="18"/>
        </w:rPr>
        <w:t xml:space="preserve">and for examples of stigma-related barriers facing young women in PEI, visit: </w:t>
      </w:r>
      <w:hyperlink r:id="rId7" w:history="1">
        <w:r w:rsidRPr="005A3F32">
          <w:rPr>
            <w:rStyle w:val="Hyperlink"/>
            <w:rFonts w:cstheme="minorHAnsi"/>
            <w:color w:val="auto"/>
            <w:sz w:val="18"/>
            <w:szCs w:val="18"/>
          </w:rPr>
          <w:t>http://projects.upei.ca/cmacquarrie/files/2014/01/trials_and_trails_final.pdf</w:t>
        </w:r>
      </w:hyperlink>
    </w:p>
  </w:footnote>
  <w:footnote w:id="31">
    <w:p w14:paraId="735BF8D9" w14:textId="7F1768FD" w:rsidR="00304187" w:rsidRPr="00304187" w:rsidRDefault="00304187">
      <w:pPr>
        <w:pStyle w:val="FootnoteText"/>
      </w:pPr>
      <w:r>
        <w:rPr>
          <w:rStyle w:val="FootnoteReference"/>
        </w:rPr>
        <w:footnoteRef/>
      </w:r>
      <w:r>
        <w:t xml:space="preserve"> </w:t>
      </w:r>
      <w:r w:rsidRPr="00BB0284">
        <w:rPr>
          <w:i/>
        </w:rPr>
        <w:t>Truth and Reconciliation Commission Calls to Action</w:t>
      </w:r>
      <w:r>
        <w:rPr>
          <w:i/>
        </w:rPr>
        <w:t xml:space="preserve"> </w:t>
      </w:r>
      <w:r>
        <w:t>(2016)</w:t>
      </w:r>
    </w:p>
  </w:footnote>
  <w:footnote w:id="32">
    <w:p w14:paraId="3E317641" w14:textId="77777777" w:rsidR="00242B68" w:rsidRPr="00190AE2" w:rsidRDefault="00242B68" w:rsidP="003C3C4E">
      <w:pPr>
        <w:outlineLvl w:val="0"/>
        <w:rPr>
          <w:rFonts w:eastAsia="Times New Roman" w:cs="Times New Roman"/>
          <w:b/>
          <w:bCs/>
          <w:lang w:val="en-CA"/>
        </w:rPr>
      </w:pPr>
      <w:r>
        <w:rPr>
          <w:rStyle w:val="FootnoteReference"/>
        </w:rPr>
        <w:footnoteRef/>
      </w:r>
      <w:r>
        <w:t xml:space="preserve"> </w:t>
      </w:r>
      <w:bookmarkStart w:id="4" w:name="_Hlk512023051"/>
      <w:r w:rsidRPr="007A3FE8">
        <w:rPr>
          <w:sz w:val="20"/>
        </w:rPr>
        <w:t>Among the most relevant articles of the UN CAT</w:t>
      </w:r>
      <w:r>
        <w:rPr>
          <w:sz w:val="20"/>
        </w:rPr>
        <w:t xml:space="preserve"> to these recommendations</w:t>
      </w:r>
      <w:r w:rsidRPr="007A3FE8">
        <w:rPr>
          <w:sz w:val="20"/>
        </w:rPr>
        <w:t xml:space="preserve"> are:</w:t>
      </w:r>
      <w:r>
        <w:t xml:space="preserve"> </w:t>
      </w:r>
      <w:r w:rsidRPr="003C3C4E">
        <w:rPr>
          <w:rFonts w:eastAsia="Times New Roman" w:cs="Times New Roman"/>
          <w:bCs/>
          <w:sz w:val="20"/>
          <w:lang w:val="en-CA"/>
        </w:rPr>
        <w:t>Article 16: Cruel, inhuman or degrading treatment or punishment,</w:t>
      </w:r>
      <w:r w:rsidRPr="003C3C4E">
        <w:rPr>
          <w:rFonts w:eastAsia="Times New Roman" w:cs="Times New Roman"/>
          <w:bCs/>
          <w:lang w:val="en-CA"/>
        </w:rPr>
        <w:t xml:space="preserve"> </w:t>
      </w:r>
      <w:r w:rsidRPr="003C3C4E">
        <w:rPr>
          <w:rFonts w:eastAsia="Times New Roman" w:cs="Times New Roman"/>
          <w:bCs/>
          <w:sz w:val="20"/>
          <w:lang w:val="en-CA"/>
        </w:rPr>
        <w:t xml:space="preserve">Article 4: Criminalization of Torture, </w:t>
      </w:r>
      <w:proofErr w:type="gramStart"/>
      <w:r w:rsidRPr="003C3C4E">
        <w:rPr>
          <w:rFonts w:eastAsia="Times New Roman" w:cs="Times New Roman"/>
          <w:bCs/>
          <w:sz w:val="20"/>
          <w:lang w:val="en-CA"/>
        </w:rPr>
        <w:t>and  Article</w:t>
      </w:r>
      <w:proofErr w:type="gramEnd"/>
      <w:r w:rsidRPr="003C3C4E">
        <w:rPr>
          <w:rFonts w:eastAsia="Times New Roman" w:cs="Times New Roman"/>
          <w:bCs/>
          <w:sz w:val="20"/>
          <w:lang w:val="en-CA"/>
        </w:rPr>
        <w:t xml:space="preserve"> 2: Prevention of Acts of Torture:</w:t>
      </w:r>
      <w:r w:rsidRPr="00190AE2">
        <w:rPr>
          <w:rFonts w:eastAsia="Times New Roman" w:cs="Times New Roman"/>
          <w:b/>
          <w:bCs/>
          <w:lang w:val="en-CA"/>
        </w:rPr>
        <w:t xml:space="preserve"> </w:t>
      </w:r>
    </w:p>
    <w:p w14:paraId="0A926FC3" w14:textId="77777777" w:rsidR="00242B68" w:rsidRDefault="00242B68" w:rsidP="003C3C4E">
      <w:pPr>
        <w:outlineLvl w:val="0"/>
        <w:rPr>
          <w:rFonts w:eastAsia="Times New Roman" w:cs="Times New Roman"/>
          <w:i/>
          <w:iCs/>
          <w:sz w:val="20"/>
          <w:lang w:val="en-CA"/>
        </w:rPr>
      </w:pPr>
      <w:r w:rsidRPr="007A3FE8">
        <w:rPr>
          <w:rFonts w:eastAsia="Times New Roman" w:cs="Times New Roman"/>
          <w:i/>
          <w:iCs/>
          <w:sz w:val="20"/>
          <w:lang w:val="en-CA"/>
        </w:rPr>
        <w:t>Article 16.1</w:t>
      </w:r>
      <w:r w:rsidRPr="003C3C4E">
        <w:rPr>
          <w:rFonts w:eastAsia="Times New Roman" w:cs="Times New Roman"/>
          <w:i/>
          <w:iCs/>
          <w:sz w:val="20"/>
          <w:lang w:val="en-CA"/>
        </w:rPr>
        <w:t xml:space="preserve">: </w:t>
      </w:r>
      <w:r w:rsidRPr="003C3C4E">
        <w:rPr>
          <w:rFonts w:eastAsia="Times New Roman" w:cs="Times New Roman"/>
          <w:bCs/>
          <w:i/>
          <w:iCs/>
          <w:sz w:val="20"/>
          <w:lang w:val="en-CA"/>
        </w:rPr>
        <w:t>Each State party shall undertake to prevent in any territory under its jurisdiction other acts of cruel, inhuman or degrading treatment or punishment</w:t>
      </w:r>
      <w:r w:rsidRPr="007A3FE8">
        <w:rPr>
          <w:rFonts w:eastAsia="Times New Roman" w:cs="Times New Roman"/>
          <w:i/>
          <w:iCs/>
          <w:sz w:val="20"/>
          <w:lang w:val="en-CA"/>
        </w:rPr>
        <w:t xml:space="preserve"> which do not amount to torture as defined in article 1, when such acts are committed by or at the instigation of or with the consent or acquiescence of a public official or other person acting in an official capacity. In particular, the obligations contained in articles 10, 11, 12 and 13 shall apply with the substitution for references to torture or references to other forms of cruel, inhuman or degrading treatment or punishment. </w:t>
      </w:r>
    </w:p>
    <w:p w14:paraId="2ED63EA5" w14:textId="77777777" w:rsidR="00242B68" w:rsidRPr="00190AE2" w:rsidRDefault="00242B68" w:rsidP="003C3C4E">
      <w:pPr>
        <w:rPr>
          <w:rFonts w:eastAsia="Times New Roman" w:cs="Times New Roman"/>
          <w:i/>
          <w:iCs/>
          <w:lang w:val="en-CA"/>
        </w:rPr>
      </w:pPr>
      <w:r w:rsidRPr="003C3C4E">
        <w:rPr>
          <w:rFonts w:eastAsia="Times New Roman" w:cs="Times New Roman"/>
          <w:i/>
          <w:iCs/>
          <w:sz w:val="20"/>
          <w:lang w:val="en-CA"/>
        </w:rPr>
        <w:t xml:space="preserve">Article 4(1) 1: </w:t>
      </w:r>
      <w:r w:rsidRPr="003C3C4E">
        <w:rPr>
          <w:rFonts w:eastAsia="Times New Roman" w:cs="Times New Roman"/>
          <w:bCs/>
          <w:i/>
          <w:iCs/>
          <w:sz w:val="20"/>
          <w:lang w:val="en-CA"/>
        </w:rPr>
        <w:t>Each State Party shall ensure that all acts of torture are offences under its criminal law.</w:t>
      </w:r>
      <w:r w:rsidRPr="003C3C4E">
        <w:rPr>
          <w:rFonts w:eastAsia="Times New Roman" w:cs="Times New Roman"/>
          <w:i/>
          <w:iCs/>
          <w:sz w:val="20"/>
          <w:lang w:val="en-CA"/>
        </w:rPr>
        <w:t xml:space="preserve"> The same shall apply to an attempt to commit torture and to an act by any person which constitutes complicity or participation in Torture.</w:t>
      </w:r>
      <w:r w:rsidRPr="00190AE2">
        <w:rPr>
          <w:rFonts w:eastAsia="Times New Roman" w:cs="Times New Roman"/>
          <w:i/>
          <w:iCs/>
          <w:lang w:val="en-CA"/>
        </w:rPr>
        <w:t xml:space="preserve"> </w:t>
      </w:r>
    </w:p>
    <w:p w14:paraId="1EA9B4FD" w14:textId="69D8F646" w:rsidR="00242B68" w:rsidRPr="007A3FE8" w:rsidRDefault="00242B68">
      <w:pPr>
        <w:pStyle w:val="FootnoteText"/>
        <w:rPr>
          <w:lang w:val="en-CA"/>
        </w:rPr>
      </w:pPr>
      <w:r w:rsidRPr="003C3C4E">
        <w:t>Article 2.</w:t>
      </w:r>
      <w:r w:rsidRPr="003C3C4E">
        <w:rPr>
          <w:rFonts w:eastAsia="Times New Roman" w:cs="Times New Roman"/>
          <w:i/>
          <w:iCs/>
          <w:lang w:val="en-CA"/>
        </w:rPr>
        <w:t xml:space="preserve">1: Each state party shall take effective legislative, administrative, judicial or other measures to prevent acts of torture in any territory under its jurisdiction. </w:t>
      </w:r>
      <w:bookmarkEnd w:id="4"/>
    </w:p>
  </w:footnote>
  <w:footnote w:id="33">
    <w:p w14:paraId="3A0A66FC" w14:textId="7F0DA98E" w:rsidR="00A61841" w:rsidRPr="00525F62" w:rsidRDefault="00A61841">
      <w:pPr>
        <w:pStyle w:val="FootnoteText"/>
        <w:rPr>
          <w:lang w:val="en-CA"/>
        </w:rPr>
      </w:pPr>
      <w:r>
        <w:rPr>
          <w:rStyle w:val="FootnoteReference"/>
        </w:rPr>
        <w:footnoteRef/>
      </w:r>
      <w:r>
        <w:t xml:space="preserve"> </w:t>
      </w:r>
      <w:r>
        <w:rPr>
          <w:i/>
          <w:lang w:val="en-CA"/>
        </w:rPr>
        <w:t xml:space="preserve">R v Gladue </w:t>
      </w:r>
      <w:r>
        <w:rPr>
          <w:lang w:val="en-CA"/>
        </w:rPr>
        <w:t>[1999] 1 SCR 688.</w:t>
      </w:r>
    </w:p>
  </w:footnote>
  <w:footnote w:id="34">
    <w:p w14:paraId="1BE11A90" w14:textId="1DF39AF0" w:rsidR="00A61841" w:rsidRPr="00525F62" w:rsidRDefault="00A61841">
      <w:pPr>
        <w:pStyle w:val="FootnoteText"/>
        <w:rPr>
          <w:lang w:val="en-CA"/>
        </w:rPr>
      </w:pPr>
      <w:r>
        <w:rPr>
          <w:rStyle w:val="FootnoteReference"/>
        </w:rPr>
        <w:footnoteRef/>
      </w:r>
      <w:r>
        <w:t xml:space="preserve"> </w:t>
      </w:r>
      <w:r w:rsidRPr="00A61841">
        <w:rPr>
          <w:lang w:val="en-CA"/>
        </w:rPr>
        <w:t>Truth and Reconciliation Commission</w:t>
      </w:r>
      <w:r>
        <w:rPr>
          <w:lang w:val="en-CA"/>
        </w:rPr>
        <w:t xml:space="preserve"> (2016), recommendation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22D4F" w14:textId="77777777" w:rsidR="00242B68" w:rsidRDefault="00242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C5A34" w14:textId="425D897F" w:rsidR="00242B68" w:rsidRDefault="00242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9AE5A" w14:textId="77777777" w:rsidR="00242B68" w:rsidRDefault="00242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15E"/>
    <w:multiLevelType w:val="hybridMultilevel"/>
    <w:tmpl w:val="59B6F4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B0860AA"/>
    <w:multiLevelType w:val="hybridMultilevel"/>
    <w:tmpl w:val="268ACA9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B0400"/>
    <w:multiLevelType w:val="hybridMultilevel"/>
    <w:tmpl w:val="2FA63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FF19E6"/>
    <w:multiLevelType w:val="hybridMultilevel"/>
    <w:tmpl w:val="366E8D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2A7DA5"/>
    <w:multiLevelType w:val="hybridMultilevel"/>
    <w:tmpl w:val="546897F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827D59"/>
    <w:multiLevelType w:val="hybridMultilevel"/>
    <w:tmpl w:val="2710138C"/>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6" w15:restartNumberingAfterBreak="0">
    <w:nsid w:val="32A05885"/>
    <w:multiLevelType w:val="hybridMultilevel"/>
    <w:tmpl w:val="51967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755D09"/>
    <w:multiLevelType w:val="hybridMultilevel"/>
    <w:tmpl w:val="0CA44D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8AC5D57"/>
    <w:multiLevelType w:val="hybridMultilevel"/>
    <w:tmpl w:val="FAEE2A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A23292"/>
    <w:multiLevelType w:val="hybridMultilevel"/>
    <w:tmpl w:val="A336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46BB7"/>
    <w:multiLevelType w:val="hybridMultilevel"/>
    <w:tmpl w:val="4BCE88AA"/>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1" w15:restartNumberingAfterBreak="0">
    <w:nsid w:val="451039AB"/>
    <w:multiLevelType w:val="hybridMultilevel"/>
    <w:tmpl w:val="3AD2F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F1A17"/>
    <w:multiLevelType w:val="hybridMultilevel"/>
    <w:tmpl w:val="31306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F15138B"/>
    <w:multiLevelType w:val="hybridMultilevel"/>
    <w:tmpl w:val="F27870B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50A50D8D"/>
    <w:multiLevelType w:val="hybridMultilevel"/>
    <w:tmpl w:val="3B8AA1C4"/>
    <w:lvl w:ilvl="0" w:tplc="1009000B">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5" w15:restartNumberingAfterBreak="0">
    <w:nsid w:val="52A0076F"/>
    <w:multiLevelType w:val="hybridMultilevel"/>
    <w:tmpl w:val="D56286D8"/>
    <w:lvl w:ilvl="0" w:tplc="A6605F80">
      <w:start w:val="1"/>
      <w:numFmt w:val="decimal"/>
      <w:lvlText w:val="%1."/>
      <w:lvlJc w:val="left"/>
      <w:pPr>
        <w:ind w:left="720" w:hanging="360"/>
      </w:pPr>
    </w:lvl>
    <w:lvl w:ilvl="1" w:tplc="39082F5E">
      <w:start w:val="1"/>
      <w:numFmt w:val="lowerLetter"/>
      <w:lvlText w:val="%2."/>
      <w:lvlJc w:val="left"/>
      <w:pPr>
        <w:ind w:left="1440" w:hanging="360"/>
      </w:pPr>
    </w:lvl>
    <w:lvl w:ilvl="2" w:tplc="92E28ABA">
      <w:start w:val="1"/>
      <w:numFmt w:val="lowerRoman"/>
      <w:lvlText w:val="%3."/>
      <w:lvlJc w:val="right"/>
      <w:pPr>
        <w:ind w:left="2160" w:hanging="180"/>
      </w:pPr>
    </w:lvl>
    <w:lvl w:ilvl="3" w:tplc="9CD079F4">
      <w:start w:val="1"/>
      <w:numFmt w:val="decimal"/>
      <w:lvlText w:val="%4."/>
      <w:lvlJc w:val="left"/>
      <w:pPr>
        <w:ind w:left="2880" w:hanging="360"/>
      </w:pPr>
    </w:lvl>
    <w:lvl w:ilvl="4" w:tplc="2A52F9D4">
      <w:start w:val="1"/>
      <w:numFmt w:val="lowerLetter"/>
      <w:lvlText w:val="%5."/>
      <w:lvlJc w:val="left"/>
      <w:pPr>
        <w:ind w:left="3600" w:hanging="360"/>
      </w:pPr>
    </w:lvl>
    <w:lvl w:ilvl="5" w:tplc="D8F6FEC0">
      <w:start w:val="1"/>
      <w:numFmt w:val="lowerRoman"/>
      <w:lvlText w:val="%6."/>
      <w:lvlJc w:val="right"/>
      <w:pPr>
        <w:ind w:left="4320" w:hanging="180"/>
      </w:pPr>
    </w:lvl>
    <w:lvl w:ilvl="6" w:tplc="C166E590">
      <w:start w:val="1"/>
      <w:numFmt w:val="decimal"/>
      <w:lvlText w:val="%7."/>
      <w:lvlJc w:val="left"/>
      <w:pPr>
        <w:ind w:left="5040" w:hanging="360"/>
      </w:pPr>
    </w:lvl>
    <w:lvl w:ilvl="7" w:tplc="8A461E30">
      <w:start w:val="1"/>
      <w:numFmt w:val="lowerLetter"/>
      <w:lvlText w:val="%8."/>
      <w:lvlJc w:val="left"/>
      <w:pPr>
        <w:ind w:left="5760" w:hanging="360"/>
      </w:pPr>
    </w:lvl>
    <w:lvl w:ilvl="8" w:tplc="9E5CDB86">
      <w:start w:val="1"/>
      <w:numFmt w:val="lowerRoman"/>
      <w:lvlText w:val="%9."/>
      <w:lvlJc w:val="right"/>
      <w:pPr>
        <w:ind w:left="6480" w:hanging="180"/>
      </w:pPr>
    </w:lvl>
  </w:abstractNum>
  <w:abstractNum w:abstractNumId="16" w15:restartNumberingAfterBreak="0">
    <w:nsid w:val="531D5186"/>
    <w:multiLevelType w:val="hybridMultilevel"/>
    <w:tmpl w:val="81D2C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B375DF"/>
    <w:multiLevelType w:val="hybridMultilevel"/>
    <w:tmpl w:val="80468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D24C91"/>
    <w:multiLevelType w:val="multilevel"/>
    <w:tmpl w:val="2E40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2660AF"/>
    <w:multiLevelType w:val="hybridMultilevel"/>
    <w:tmpl w:val="ADC00A72"/>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FCF452B"/>
    <w:multiLevelType w:val="hybridMultilevel"/>
    <w:tmpl w:val="BDD2CB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AE28AA"/>
    <w:multiLevelType w:val="hybridMultilevel"/>
    <w:tmpl w:val="3F7AA572"/>
    <w:lvl w:ilvl="0" w:tplc="1009000B">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2" w15:restartNumberingAfterBreak="0">
    <w:nsid w:val="63952622"/>
    <w:multiLevelType w:val="hybridMultilevel"/>
    <w:tmpl w:val="65724B0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6D942182"/>
    <w:multiLevelType w:val="hybridMultilevel"/>
    <w:tmpl w:val="DF684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60B484">
      <w:numFmt w:val="bullet"/>
      <w:lvlText w:val="•"/>
      <w:lvlJc w:val="left"/>
      <w:pPr>
        <w:ind w:left="2520" w:hanging="720"/>
      </w:pPr>
      <w:rPr>
        <w:rFonts w:ascii="Calibri" w:eastAsia="Times New Roman" w:hAnsi="Calibri" w:cs="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380C8B"/>
    <w:multiLevelType w:val="hybridMultilevel"/>
    <w:tmpl w:val="181A06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5911082"/>
    <w:multiLevelType w:val="hybridMultilevel"/>
    <w:tmpl w:val="0E16D1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5DB1FD5"/>
    <w:multiLevelType w:val="hybridMultilevel"/>
    <w:tmpl w:val="EF42631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A2478A4"/>
    <w:multiLevelType w:val="hybridMultilevel"/>
    <w:tmpl w:val="C652C8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FA83630"/>
    <w:multiLevelType w:val="hybridMultilevel"/>
    <w:tmpl w:val="BEA0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7"/>
  </w:num>
  <w:num w:numId="4">
    <w:abstractNumId w:val="25"/>
  </w:num>
  <w:num w:numId="5">
    <w:abstractNumId w:val="15"/>
  </w:num>
  <w:num w:numId="6">
    <w:abstractNumId w:val="1"/>
  </w:num>
  <w:num w:numId="7">
    <w:abstractNumId w:val="20"/>
  </w:num>
  <w:num w:numId="8">
    <w:abstractNumId w:val="4"/>
  </w:num>
  <w:num w:numId="9">
    <w:abstractNumId w:val="18"/>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8"/>
  </w:num>
  <w:num w:numId="13">
    <w:abstractNumId w:val="10"/>
  </w:num>
  <w:num w:numId="14">
    <w:abstractNumId w:val="5"/>
  </w:num>
  <w:num w:numId="15">
    <w:abstractNumId w:val="0"/>
  </w:num>
  <w:num w:numId="16">
    <w:abstractNumId w:val="21"/>
  </w:num>
  <w:num w:numId="17">
    <w:abstractNumId w:val="7"/>
  </w:num>
  <w:num w:numId="18">
    <w:abstractNumId w:val="14"/>
  </w:num>
  <w:num w:numId="19">
    <w:abstractNumId w:val="0"/>
  </w:num>
  <w:num w:numId="20">
    <w:abstractNumId w:val="14"/>
  </w:num>
  <w:num w:numId="21">
    <w:abstractNumId w:val="13"/>
  </w:num>
  <w:num w:numId="22">
    <w:abstractNumId w:val="19"/>
  </w:num>
  <w:num w:numId="23">
    <w:abstractNumId w:val="26"/>
  </w:num>
  <w:num w:numId="24">
    <w:abstractNumId w:val="12"/>
  </w:num>
  <w:num w:numId="25">
    <w:abstractNumId w:val="22"/>
  </w:num>
  <w:num w:numId="26">
    <w:abstractNumId w:val="24"/>
  </w:num>
  <w:num w:numId="27">
    <w:abstractNumId w:val="16"/>
  </w:num>
  <w:num w:numId="28">
    <w:abstractNumId w:val="6"/>
  </w:num>
  <w:num w:numId="29">
    <w:abstractNumId w:val="2"/>
  </w:num>
  <w:num w:numId="30">
    <w:abstractNumId w:val="2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78"/>
    <w:rsid w:val="00004423"/>
    <w:rsid w:val="00041F50"/>
    <w:rsid w:val="000434D7"/>
    <w:rsid w:val="00061760"/>
    <w:rsid w:val="00063C02"/>
    <w:rsid w:val="000667B4"/>
    <w:rsid w:val="000C7A48"/>
    <w:rsid w:val="001116B2"/>
    <w:rsid w:val="00120EAE"/>
    <w:rsid w:val="00126918"/>
    <w:rsid w:val="001345E1"/>
    <w:rsid w:val="0013751B"/>
    <w:rsid w:val="00190AE2"/>
    <w:rsid w:val="001B434B"/>
    <w:rsid w:val="001C2FA2"/>
    <w:rsid w:val="00206B11"/>
    <w:rsid w:val="0020729E"/>
    <w:rsid w:val="0022578A"/>
    <w:rsid w:val="00234DBE"/>
    <w:rsid w:val="00242B68"/>
    <w:rsid w:val="00254302"/>
    <w:rsid w:val="00290585"/>
    <w:rsid w:val="002B278C"/>
    <w:rsid w:val="003027F6"/>
    <w:rsid w:val="00304187"/>
    <w:rsid w:val="00322EAB"/>
    <w:rsid w:val="00335657"/>
    <w:rsid w:val="003448E1"/>
    <w:rsid w:val="00350E8A"/>
    <w:rsid w:val="003578A7"/>
    <w:rsid w:val="003664B0"/>
    <w:rsid w:val="003A6B84"/>
    <w:rsid w:val="003C3C4E"/>
    <w:rsid w:val="003C7FBA"/>
    <w:rsid w:val="003D0136"/>
    <w:rsid w:val="003D1231"/>
    <w:rsid w:val="003D774C"/>
    <w:rsid w:val="003E2867"/>
    <w:rsid w:val="003E391F"/>
    <w:rsid w:val="00425E7F"/>
    <w:rsid w:val="00454EB9"/>
    <w:rsid w:val="00470657"/>
    <w:rsid w:val="0048025F"/>
    <w:rsid w:val="00482275"/>
    <w:rsid w:val="00487C0B"/>
    <w:rsid w:val="00495536"/>
    <w:rsid w:val="004B2BDA"/>
    <w:rsid w:val="004F7410"/>
    <w:rsid w:val="004F742D"/>
    <w:rsid w:val="00525F62"/>
    <w:rsid w:val="00533333"/>
    <w:rsid w:val="00533B33"/>
    <w:rsid w:val="00551BC3"/>
    <w:rsid w:val="00562B18"/>
    <w:rsid w:val="005708D2"/>
    <w:rsid w:val="0059356A"/>
    <w:rsid w:val="005A3F32"/>
    <w:rsid w:val="005B5D4E"/>
    <w:rsid w:val="005C07CB"/>
    <w:rsid w:val="005D17C7"/>
    <w:rsid w:val="00601995"/>
    <w:rsid w:val="00611AE2"/>
    <w:rsid w:val="0061283B"/>
    <w:rsid w:val="00614B0F"/>
    <w:rsid w:val="00637FA6"/>
    <w:rsid w:val="006455DF"/>
    <w:rsid w:val="0065582E"/>
    <w:rsid w:val="006620DC"/>
    <w:rsid w:val="00693B0B"/>
    <w:rsid w:val="00695D58"/>
    <w:rsid w:val="006B2904"/>
    <w:rsid w:val="006C4DF9"/>
    <w:rsid w:val="006F392A"/>
    <w:rsid w:val="00705532"/>
    <w:rsid w:val="00706D43"/>
    <w:rsid w:val="0074583C"/>
    <w:rsid w:val="0079140A"/>
    <w:rsid w:val="00796576"/>
    <w:rsid w:val="007A3FE8"/>
    <w:rsid w:val="007C4F88"/>
    <w:rsid w:val="007F3312"/>
    <w:rsid w:val="0082107A"/>
    <w:rsid w:val="0082219A"/>
    <w:rsid w:val="00843C03"/>
    <w:rsid w:val="00851437"/>
    <w:rsid w:val="00881108"/>
    <w:rsid w:val="00890214"/>
    <w:rsid w:val="008B0C1C"/>
    <w:rsid w:val="008B525B"/>
    <w:rsid w:val="008C3C68"/>
    <w:rsid w:val="008D392C"/>
    <w:rsid w:val="00912272"/>
    <w:rsid w:val="009166EC"/>
    <w:rsid w:val="00920008"/>
    <w:rsid w:val="009357E6"/>
    <w:rsid w:val="00955476"/>
    <w:rsid w:val="00966EC6"/>
    <w:rsid w:val="00970ED7"/>
    <w:rsid w:val="00980277"/>
    <w:rsid w:val="00993AAF"/>
    <w:rsid w:val="009A4C5C"/>
    <w:rsid w:val="009A54F1"/>
    <w:rsid w:val="009B0CE2"/>
    <w:rsid w:val="00A45691"/>
    <w:rsid w:val="00A61841"/>
    <w:rsid w:val="00A72407"/>
    <w:rsid w:val="00B039E0"/>
    <w:rsid w:val="00B04F10"/>
    <w:rsid w:val="00B32F6D"/>
    <w:rsid w:val="00B56284"/>
    <w:rsid w:val="00B870C1"/>
    <w:rsid w:val="00BB0284"/>
    <w:rsid w:val="00BC4CC1"/>
    <w:rsid w:val="00BE2220"/>
    <w:rsid w:val="00BF3B5D"/>
    <w:rsid w:val="00BF7B74"/>
    <w:rsid w:val="00C33554"/>
    <w:rsid w:val="00D52B89"/>
    <w:rsid w:val="00D778F4"/>
    <w:rsid w:val="00DB03B0"/>
    <w:rsid w:val="00DE00B0"/>
    <w:rsid w:val="00DE4E5C"/>
    <w:rsid w:val="00E066DC"/>
    <w:rsid w:val="00E25A9B"/>
    <w:rsid w:val="00E45C9E"/>
    <w:rsid w:val="00E6018F"/>
    <w:rsid w:val="00E76E78"/>
    <w:rsid w:val="00E907FD"/>
    <w:rsid w:val="00ED2EFA"/>
    <w:rsid w:val="00EE46BB"/>
    <w:rsid w:val="00EF2863"/>
    <w:rsid w:val="00F52978"/>
    <w:rsid w:val="00F550E1"/>
    <w:rsid w:val="00FD2DA7"/>
    <w:rsid w:val="00FF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6D3"/>
  <w14:defaultImageDpi w14:val="32767"/>
  <w15:chartTrackingRefBased/>
  <w15:docId w15:val="{ACE04808-9C91-BE4F-A0A4-F612CCB4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2B89"/>
    <w:pPr>
      <w:keepNext/>
      <w:keepLines/>
      <w:spacing w:before="360" w:after="240" w:line="276" w:lineRule="auto"/>
      <w:outlineLvl w:val="0"/>
    </w:pPr>
    <w:rPr>
      <w:rFonts w:ascii="Times New Roman" w:eastAsia="Times New Roman" w:hAnsi="Times New Roman" w:cs="Times New Roman"/>
      <w:b/>
      <w:bCs/>
      <w:color w:val="000000"/>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2978"/>
    <w:rPr>
      <w:sz w:val="20"/>
      <w:szCs w:val="20"/>
    </w:rPr>
  </w:style>
  <w:style w:type="character" w:customStyle="1" w:styleId="FootnoteTextChar">
    <w:name w:val="Footnote Text Char"/>
    <w:basedOn w:val="DefaultParagraphFont"/>
    <w:link w:val="FootnoteText"/>
    <w:uiPriority w:val="99"/>
    <w:rsid w:val="00F52978"/>
    <w:rPr>
      <w:sz w:val="20"/>
      <w:szCs w:val="20"/>
    </w:rPr>
  </w:style>
  <w:style w:type="character" w:styleId="FootnoteReference">
    <w:name w:val="footnote reference"/>
    <w:basedOn w:val="DefaultParagraphFont"/>
    <w:uiPriority w:val="99"/>
    <w:unhideWhenUsed/>
    <w:rsid w:val="00F52978"/>
    <w:rPr>
      <w:vertAlign w:val="superscript"/>
    </w:rPr>
  </w:style>
  <w:style w:type="character" w:styleId="Hyperlink">
    <w:name w:val="Hyperlink"/>
    <w:basedOn w:val="DefaultParagraphFont"/>
    <w:uiPriority w:val="99"/>
    <w:unhideWhenUsed/>
    <w:rsid w:val="00F52978"/>
    <w:rPr>
      <w:color w:val="0563C1" w:themeColor="hyperlink"/>
      <w:u w:val="single"/>
    </w:rPr>
  </w:style>
  <w:style w:type="character" w:styleId="UnresolvedMention">
    <w:name w:val="Unresolved Mention"/>
    <w:basedOn w:val="DefaultParagraphFont"/>
    <w:uiPriority w:val="99"/>
    <w:rsid w:val="00F52978"/>
    <w:rPr>
      <w:color w:val="808080"/>
      <w:shd w:val="clear" w:color="auto" w:fill="E6E6E6"/>
    </w:rPr>
  </w:style>
  <w:style w:type="paragraph" w:styleId="ListParagraph">
    <w:name w:val="List Paragraph"/>
    <w:basedOn w:val="Normal"/>
    <w:uiPriority w:val="34"/>
    <w:qFormat/>
    <w:rsid w:val="009A54F1"/>
    <w:pPr>
      <w:ind w:left="720"/>
      <w:contextualSpacing/>
    </w:pPr>
  </w:style>
  <w:style w:type="character" w:customStyle="1" w:styleId="Heading1Char">
    <w:name w:val="Heading 1 Char"/>
    <w:basedOn w:val="DefaultParagraphFont"/>
    <w:link w:val="Heading1"/>
    <w:uiPriority w:val="9"/>
    <w:rsid w:val="00D52B89"/>
    <w:rPr>
      <w:rFonts w:ascii="Times New Roman" w:eastAsia="Times New Roman" w:hAnsi="Times New Roman" w:cs="Times New Roman"/>
      <w:b/>
      <w:bCs/>
      <w:color w:val="000000"/>
      <w:sz w:val="28"/>
      <w:szCs w:val="28"/>
      <w:lang w:val="en-CA"/>
    </w:rPr>
  </w:style>
  <w:style w:type="character" w:customStyle="1" w:styleId="published-date">
    <w:name w:val="published-date"/>
    <w:basedOn w:val="DefaultParagraphFont"/>
    <w:rsid w:val="00120EAE"/>
  </w:style>
  <w:style w:type="paragraph" w:styleId="NoSpacing">
    <w:name w:val="No Spacing"/>
    <w:uiPriority w:val="1"/>
    <w:qFormat/>
    <w:rsid w:val="008B525B"/>
    <w:rPr>
      <w:sz w:val="22"/>
      <w:szCs w:val="22"/>
      <w:lang w:val="fr-CA"/>
    </w:rPr>
  </w:style>
  <w:style w:type="paragraph" w:styleId="EndnoteText">
    <w:name w:val="endnote text"/>
    <w:basedOn w:val="Normal"/>
    <w:link w:val="EndnoteTextChar"/>
    <w:uiPriority w:val="99"/>
    <w:semiHidden/>
    <w:unhideWhenUsed/>
    <w:rsid w:val="00DE4E5C"/>
    <w:rPr>
      <w:sz w:val="20"/>
      <w:szCs w:val="20"/>
      <w:lang w:val="en-CA"/>
    </w:rPr>
  </w:style>
  <w:style w:type="character" w:customStyle="1" w:styleId="EndnoteTextChar">
    <w:name w:val="Endnote Text Char"/>
    <w:basedOn w:val="DefaultParagraphFont"/>
    <w:link w:val="EndnoteText"/>
    <w:uiPriority w:val="99"/>
    <w:semiHidden/>
    <w:rsid w:val="00DE4E5C"/>
    <w:rPr>
      <w:sz w:val="20"/>
      <w:szCs w:val="20"/>
      <w:lang w:val="en-CA"/>
    </w:rPr>
  </w:style>
  <w:style w:type="character" w:styleId="EndnoteReference">
    <w:name w:val="endnote reference"/>
    <w:basedOn w:val="DefaultParagraphFont"/>
    <w:uiPriority w:val="99"/>
    <w:semiHidden/>
    <w:unhideWhenUsed/>
    <w:rsid w:val="00DE4E5C"/>
    <w:rPr>
      <w:vertAlign w:val="superscript"/>
    </w:rPr>
  </w:style>
  <w:style w:type="paragraph" w:styleId="NormalWeb">
    <w:name w:val="Normal (Web)"/>
    <w:basedOn w:val="Normal"/>
    <w:uiPriority w:val="99"/>
    <w:unhideWhenUsed/>
    <w:rsid w:val="00DE4E5C"/>
    <w:pPr>
      <w:spacing w:before="100" w:beforeAutospacing="1" w:after="100" w:afterAutospacing="1"/>
    </w:pPr>
    <w:rPr>
      <w:rFonts w:ascii="Times New Roman" w:eastAsia="Times New Roman" w:hAnsi="Times New Roman" w:cs="Times New Roman"/>
      <w:lang w:val="fr-CA" w:eastAsia="fr-CA"/>
    </w:rPr>
  </w:style>
  <w:style w:type="paragraph" w:customStyle="1" w:styleId="Default">
    <w:name w:val="Default"/>
    <w:basedOn w:val="Normal"/>
    <w:rsid w:val="00912272"/>
    <w:pPr>
      <w:autoSpaceDE w:val="0"/>
      <w:autoSpaceDN w:val="0"/>
    </w:pPr>
    <w:rPr>
      <w:rFonts w:ascii="Calibri" w:hAnsi="Calibri" w:cs="Calibri"/>
      <w:color w:val="000000"/>
      <w:lang w:val="en-CA" w:eastAsia="en-CA"/>
    </w:rPr>
  </w:style>
  <w:style w:type="paragraph" w:styleId="PlainText">
    <w:name w:val="Plain Text"/>
    <w:basedOn w:val="Normal"/>
    <w:link w:val="PlainTextChar"/>
    <w:uiPriority w:val="99"/>
    <w:semiHidden/>
    <w:unhideWhenUsed/>
    <w:rsid w:val="00ED2EFA"/>
    <w:rPr>
      <w:rFonts w:ascii="Calibri" w:hAnsi="Calibri"/>
      <w:sz w:val="22"/>
      <w:szCs w:val="21"/>
      <w:lang w:val="en-CA"/>
    </w:rPr>
  </w:style>
  <w:style w:type="character" w:customStyle="1" w:styleId="PlainTextChar">
    <w:name w:val="Plain Text Char"/>
    <w:basedOn w:val="DefaultParagraphFont"/>
    <w:link w:val="PlainText"/>
    <w:uiPriority w:val="99"/>
    <w:semiHidden/>
    <w:rsid w:val="00ED2EFA"/>
    <w:rPr>
      <w:rFonts w:ascii="Calibri" w:hAnsi="Calibri"/>
      <w:sz w:val="22"/>
      <w:szCs w:val="21"/>
      <w:lang w:val="en-CA"/>
    </w:rPr>
  </w:style>
  <w:style w:type="paragraph" w:styleId="BalloonText">
    <w:name w:val="Balloon Text"/>
    <w:basedOn w:val="Normal"/>
    <w:link w:val="BalloonTextChar"/>
    <w:uiPriority w:val="99"/>
    <w:semiHidden/>
    <w:unhideWhenUsed/>
    <w:rsid w:val="004B2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BDA"/>
    <w:rPr>
      <w:rFonts w:ascii="Segoe UI" w:hAnsi="Segoe UI" w:cs="Segoe UI"/>
      <w:sz w:val="18"/>
      <w:szCs w:val="18"/>
    </w:rPr>
  </w:style>
  <w:style w:type="paragraph" w:styleId="Header">
    <w:name w:val="header"/>
    <w:basedOn w:val="Normal"/>
    <w:link w:val="HeaderChar"/>
    <w:uiPriority w:val="99"/>
    <w:unhideWhenUsed/>
    <w:rsid w:val="001345E1"/>
    <w:pPr>
      <w:tabs>
        <w:tab w:val="center" w:pos="4680"/>
        <w:tab w:val="right" w:pos="9360"/>
      </w:tabs>
    </w:pPr>
  </w:style>
  <w:style w:type="character" w:customStyle="1" w:styleId="HeaderChar">
    <w:name w:val="Header Char"/>
    <w:basedOn w:val="DefaultParagraphFont"/>
    <w:link w:val="Header"/>
    <w:uiPriority w:val="99"/>
    <w:rsid w:val="001345E1"/>
  </w:style>
  <w:style w:type="paragraph" w:styleId="Footer">
    <w:name w:val="footer"/>
    <w:basedOn w:val="Normal"/>
    <w:link w:val="FooterChar"/>
    <w:uiPriority w:val="99"/>
    <w:unhideWhenUsed/>
    <w:rsid w:val="001345E1"/>
    <w:pPr>
      <w:tabs>
        <w:tab w:val="center" w:pos="4680"/>
        <w:tab w:val="right" w:pos="9360"/>
      </w:tabs>
    </w:pPr>
  </w:style>
  <w:style w:type="character" w:customStyle="1" w:styleId="FooterChar">
    <w:name w:val="Footer Char"/>
    <w:basedOn w:val="DefaultParagraphFont"/>
    <w:link w:val="Footer"/>
    <w:uiPriority w:val="99"/>
    <w:rsid w:val="001345E1"/>
  </w:style>
  <w:style w:type="paragraph" w:styleId="Revision">
    <w:name w:val="Revision"/>
    <w:hidden/>
    <w:uiPriority w:val="99"/>
    <w:semiHidden/>
    <w:rsid w:val="00980277"/>
  </w:style>
  <w:style w:type="character" w:styleId="CommentReference">
    <w:name w:val="annotation reference"/>
    <w:basedOn w:val="DefaultParagraphFont"/>
    <w:uiPriority w:val="99"/>
    <w:semiHidden/>
    <w:unhideWhenUsed/>
    <w:rsid w:val="00980277"/>
    <w:rPr>
      <w:sz w:val="16"/>
      <w:szCs w:val="16"/>
    </w:rPr>
  </w:style>
  <w:style w:type="paragraph" w:styleId="CommentText">
    <w:name w:val="annotation text"/>
    <w:basedOn w:val="Normal"/>
    <w:link w:val="CommentTextChar"/>
    <w:uiPriority w:val="99"/>
    <w:semiHidden/>
    <w:unhideWhenUsed/>
    <w:rsid w:val="00980277"/>
    <w:rPr>
      <w:sz w:val="20"/>
      <w:szCs w:val="20"/>
    </w:rPr>
  </w:style>
  <w:style w:type="character" w:customStyle="1" w:styleId="CommentTextChar">
    <w:name w:val="Comment Text Char"/>
    <w:basedOn w:val="DefaultParagraphFont"/>
    <w:link w:val="CommentText"/>
    <w:uiPriority w:val="99"/>
    <w:semiHidden/>
    <w:rsid w:val="00980277"/>
    <w:rPr>
      <w:sz w:val="20"/>
      <w:szCs w:val="20"/>
    </w:rPr>
  </w:style>
  <w:style w:type="paragraph" w:styleId="CommentSubject">
    <w:name w:val="annotation subject"/>
    <w:basedOn w:val="CommentText"/>
    <w:next w:val="CommentText"/>
    <w:link w:val="CommentSubjectChar"/>
    <w:uiPriority w:val="99"/>
    <w:semiHidden/>
    <w:unhideWhenUsed/>
    <w:rsid w:val="00980277"/>
    <w:rPr>
      <w:b/>
      <w:bCs/>
    </w:rPr>
  </w:style>
  <w:style w:type="character" w:customStyle="1" w:styleId="CommentSubjectChar">
    <w:name w:val="Comment Subject Char"/>
    <w:basedOn w:val="CommentTextChar"/>
    <w:link w:val="CommentSubject"/>
    <w:uiPriority w:val="99"/>
    <w:semiHidden/>
    <w:rsid w:val="009802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62490">
      <w:bodyDiv w:val="1"/>
      <w:marLeft w:val="0"/>
      <w:marRight w:val="0"/>
      <w:marTop w:val="0"/>
      <w:marBottom w:val="0"/>
      <w:divBdr>
        <w:top w:val="none" w:sz="0" w:space="0" w:color="auto"/>
        <w:left w:val="none" w:sz="0" w:space="0" w:color="auto"/>
        <w:bottom w:val="none" w:sz="0" w:space="0" w:color="auto"/>
        <w:right w:val="none" w:sz="0" w:space="0" w:color="auto"/>
      </w:divBdr>
    </w:div>
    <w:div w:id="547768827">
      <w:bodyDiv w:val="1"/>
      <w:marLeft w:val="0"/>
      <w:marRight w:val="0"/>
      <w:marTop w:val="0"/>
      <w:marBottom w:val="0"/>
      <w:divBdr>
        <w:top w:val="none" w:sz="0" w:space="0" w:color="auto"/>
        <w:left w:val="none" w:sz="0" w:space="0" w:color="auto"/>
        <w:bottom w:val="none" w:sz="0" w:space="0" w:color="auto"/>
        <w:right w:val="none" w:sz="0" w:space="0" w:color="auto"/>
      </w:divBdr>
    </w:div>
    <w:div w:id="1573587047">
      <w:bodyDiv w:val="1"/>
      <w:marLeft w:val="0"/>
      <w:marRight w:val="0"/>
      <w:marTop w:val="0"/>
      <w:marBottom w:val="0"/>
      <w:divBdr>
        <w:top w:val="none" w:sz="0" w:space="0" w:color="auto"/>
        <w:left w:val="none" w:sz="0" w:space="0" w:color="auto"/>
        <w:bottom w:val="none" w:sz="0" w:space="0" w:color="auto"/>
        <w:right w:val="none" w:sz="0" w:space="0" w:color="auto"/>
      </w:divBdr>
    </w:div>
    <w:div w:id="1574468430">
      <w:bodyDiv w:val="1"/>
      <w:marLeft w:val="0"/>
      <w:marRight w:val="0"/>
      <w:marTop w:val="0"/>
      <w:marBottom w:val="0"/>
      <w:divBdr>
        <w:top w:val="none" w:sz="0" w:space="0" w:color="auto"/>
        <w:left w:val="none" w:sz="0" w:space="0" w:color="auto"/>
        <w:bottom w:val="none" w:sz="0" w:space="0" w:color="auto"/>
        <w:right w:val="none" w:sz="0" w:space="0" w:color="auto"/>
      </w:divBdr>
      <w:divsChild>
        <w:div w:id="266543503">
          <w:marLeft w:val="0"/>
          <w:marRight w:val="0"/>
          <w:marTop w:val="0"/>
          <w:marBottom w:val="0"/>
          <w:divBdr>
            <w:top w:val="none" w:sz="0" w:space="0" w:color="auto"/>
            <w:left w:val="none" w:sz="0" w:space="0" w:color="auto"/>
            <w:bottom w:val="none" w:sz="0" w:space="0" w:color="auto"/>
            <w:right w:val="none" w:sz="0" w:space="0" w:color="auto"/>
          </w:divBdr>
        </w:div>
        <w:div w:id="1239753236">
          <w:marLeft w:val="0"/>
          <w:marRight w:val="0"/>
          <w:marTop w:val="0"/>
          <w:marBottom w:val="0"/>
          <w:divBdr>
            <w:top w:val="none" w:sz="0" w:space="0" w:color="auto"/>
            <w:left w:val="none" w:sz="0" w:space="0" w:color="auto"/>
            <w:bottom w:val="single" w:sz="12" w:space="1" w:color="auto"/>
            <w:right w:val="none" w:sz="0" w:space="0" w:color="auto"/>
          </w:divBdr>
        </w:div>
      </w:divsChild>
    </w:div>
    <w:div w:id="1585332212">
      <w:bodyDiv w:val="1"/>
      <w:marLeft w:val="0"/>
      <w:marRight w:val="0"/>
      <w:marTop w:val="0"/>
      <w:marBottom w:val="0"/>
      <w:divBdr>
        <w:top w:val="none" w:sz="0" w:space="0" w:color="auto"/>
        <w:left w:val="none" w:sz="0" w:space="0" w:color="auto"/>
        <w:bottom w:val="none" w:sz="0" w:space="0" w:color="auto"/>
        <w:right w:val="none" w:sz="0" w:space="0" w:color="auto"/>
      </w:divBdr>
    </w:div>
    <w:div w:id="1659071734">
      <w:bodyDiv w:val="1"/>
      <w:marLeft w:val="0"/>
      <w:marRight w:val="0"/>
      <w:marTop w:val="0"/>
      <w:marBottom w:val="0"/>
      <w:divBdr>
        <w:top w:val="none" w:sz="0" w:space="0" w:color="auto"/>
        <w:left w:val="none" w:sz="0" w:space="0" w:color="auto"/>
        <w:bottom w:val="none" w:sz="0" w:space="0" w:color="auto"/>
        <w:right w:val="none" w:sz="0" w:space="0" w:color="auto"/>
      </w:divBdr>
    </w:div>
    <w:div w:id="1783576316">
      <w:bodyDiv w:val="1"/>
      <w:marLeft w:val="0"/>
      <w:marRight w:val="0"/>
      <w:marTop w:val="0"/>
      <w:marBottom w:val="0"/>
      <w:divBdr>
        <w:top w:val="none" w:sz="0" w:space="0" w:color="auto"/>
        <w:left w:val="none" w:sz="0" w:space="0" w:color="auto"/>
        <w:bottom w:val="none" w:sz="0" w:space="0" w:color="auto"/>
        <w:right w:val="none" w:sz="0" w:space="0" w:color="auto"/>
      </w:divBdr>
    </w:div>
    <w:div w:id="21134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justice.alberta.ca/publiccampations/Documents/IndependentReportIncarceration-AngelaCardinal.pdf" TargetMode="External"/><Relationship Id="rId7" Type="http://schemas.openxmlformats.org/officeDocument/2006/relationships/hyperlink" Target="http://projects.upei.ca/cmacquarrie/files/2014/01/trials_and_trails_final.pdf" TargetMode="External"/><Relationship Id="rId2" Type="http://schemas.openxmlformats.org/officeDocument/2006/relationships/hyperlink" Target="https://www.cjc-ccm.gc.ca/cmslib/general/Camp_Docs/2017-03-08%20Report%20to%20Minister.pdf" TargetMode="External"/><Relationship Id="rId1" Type="http://schemas.openxmlformats.org/officeDocument/2006/relationships/hyperlink" Target="https://www.statcan.gc.ca/pub/85-002-x/2017001/article/14842-eng.htm" TargetMode="External"/><Relationship Id="rId6" Type="http://schemas.openxmlformats.org/officeDocument/2006/relationships/hyperlink" Target="http://www.theguardian.pe.ca/News/Local/2011-11-10/article-2802198/Women-turning-to-desperate-measures-due-to-lack-of-abortion-services/1" TargetMode="External"/><Relationship Id="rId5" Type="http://schemas.openxmlformats.org/officeDocument/2006/relationships/hyperlink" Target="http://www.ohchr.org/Documents/Issues/Women/WRGS/Health/GR24.pdf" TargetMode="External"/><Relationship Id="rId4" Type="http://schemas.openxmlformats.org/officeDocument/2006/relationships/hyperlink" Target="http://www.ohchr.org/Documents/Issues/Women/WRGS/Health/GR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B7EBF-C94E-4267-8DF5-83A7C3BE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7513</Words>
  <Characters>42829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Gotell</dc:creator>
  <cp:keywords/>
  <dc:description/>
  <cp:lastModifiedBy>Josee Cyr</cp:lastModifiedBy>
  <cp:revision>2</cp:revision>
  <cp:lastPrinted>2018-04-24T00:31:00Z</cp:lastPrinted>
  <dcterms:created xsi:type="dcterms:W3CDTF">2018-04-26T17:54:00Z</dcterms:created>
  <dcterms:modified xsi:type="dcterms:W3CDTF">2018-04-26T17:54:00Z</dcterms:modified>
</cp:coreProperties>
</file>